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EDC97" w14:textId="77777777" w:rsidR="001443E4" w:rsidRDefault="001443E4" w:rsidP="007F1018">
      <w:pPr>
        <w:jc w:val="center"/>
        <w:rPr>
          <w:b/>
        </w:rPr>
      </w:pPr>
    </w:p>
    <w:p w14:paraId="0F1155B0" w14:textId="6E2B0B31" w:rsidR="003E501D" w:rsidRPr="00C40798" w:rsidRDefault="003E501D" w:rsidP="00C40798">
      <w:pPr>
        <w:pStyle w:val="Titolo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0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LICEO SCIENTIFICO </w:t>
      </w:r>
      <w:proofErr w:type="gramStart"/>
      <w:r w:rsidRPr="003E501D">
        <w:rPr>
          <w:rFonts w:ascii="Times New Roman" w:hAnsi="Times New Roman" w:cs="Times New Roman"/>
          <w:b w:val="0"/>
          <w:bCs w:val="0"/>
          <w:sz w:val="28"/>
          <w:szCs w:val="28"/>
        </w:rPr>
        <w:t>STATALE  “</w:t>
      </w:r>
      <w:proofErr w:type="gramEnd"/>
      <w:r w:rsidRPr="003E50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TALETE”                                                                       </w:t>
      </w:r>
      <w:proofErr w:type="spellStart"/>
      <w:r w:rsidRPr="003E501D">
        <w:rPr>
          <w:rFonts w:ascii="Times New Roman" w:hAnsi="Times New Roman" w:cs="Times New Roman"/>
          <w:b w:val="0"/>
          <w:bCs w:val="0"/>
          <w:sz w:val="28"/>
          <w:szCs w:val="28"/>
        </w:rPr>
        <w:t>a.s.</w:t>
      </w:r>
      <w:proofErr w:type="spellEnd"/>
      <w:r w:rsidRPr="003E50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 w:rsidR="00012783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E501D">
        <w:rPr>
          <w:rFonts w:ascii="Times New Roman" w:hAnsi="Times New Roman" w:cs="Times New Roman"/>
          <w:b w:val="0"/>
          <w:bCs w:val="0"/>
          <w:sz w:val="28"/>
          <w:szCs w:val="28"/>
        </w:rPr>
        <w:t>/ 20</w:t>
      </w:r>
      <w:r w:rsidR="00012783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</w:p>
    <w:p w14:paraId="271109B2" w14:textId="77777777" w:rsidR="00C40798" w:rsidRDefault="003E501D" w:rsidP="003E501D">
      <w:pPr>
        <w:rPr>
          <w:rFonts w:ascii="Times New Roman" w:hAnsi="Times New Roman" w:cs="Times New Roman"/>
          <w:b/>
          <w:sz w:val="28"/>
          <w:szCs w:val="28"/>
        </w:rPr>
      </w:pPr>
      <w:r w:rsidRPr="003E501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14:paraId="53ADB373" w14:textId="2BB87B6A" w:rsidR="003E501D" w:rsidRPr="003E501D" w:rsidRDefault="00C40798" w:rsidP="003E50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3E5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DF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E501D">
        <w:rPr>
          <w:rFonts w:ascii="Times New Roman" w:hAnsi="Times New Roman" w:cs="Times New Roman"/>
          <w:b/>
          <w:sz w:val="28"/>
          <w:szCs w:val="28"/>
        </w:rPr>
        <w:t xml:space="preserve"> Programma</w:t>
      </w:r>
      <w:r w:rsidR="003E501D" w:rsidRPr="003E50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083DF5">
        <w:rPr>
          <w:rFonts w:ascii="Times New Roman" w:hAnsi="Times New Roman" w:cs="Times New Roman"/>
          <w:b/>
          <w:sz w:val="28"/>
          <w:szCs w:val="28"/>
        </w:rPr>
        <w:t>Fis</w:t>
      </w:r>
      <w:r>
        <w:rPr>
          <w:rFonts w:ascii="Times New Roman" w:hAnsi="Times New Roman" w:cs="Times New Roman"/>
          <w:b/>
          <w:sz w:val="28"/>
          <w:szCs w:val="28"/>
        </w:rPr>
        <w:t>ica</w:t>
      </w:r>
      <w:r w:rsidR="003E501D" w:rsidRPr="003E501D">
        <w:rPr>
          <w:rFonts w:ascii="Times New Roman" w:hAnsi="Times New Roman" w:cs="Times New Roman"/>
          <w:b/>
          <w:sz w:val="28"/>
          <w:szCs w:val="28"/>
        </w:rPr>
        <w:t xml:space="preserve">  Classe</w:t>
      </w:r>
      <w:proofErr w:type="gramEnd"/>
      <w:r w:rsidR="003E501D" w:rsidRPr="003E50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2783">
        <w:rPr>
          <w:rFonts w:ascii="Times New Roman" w:hAnsi="Times New Roman" w:cs="Times New Roman"/>
          <w:b/>
          <w:sz w:val="28"/>
          <w:szCs w:val="28"/>
        </w:rPr>
        <w:t>4</w:t>
      </w:r>
      <w:r w:rsidR="003E501D">
        <w:rPr>
          <w:rFonts w:ascii="Times New Roman" w:hAnsi="Times New Roman" w:cs="Times New Roman"/>
          <w:b/>
          <w:sz w:val="28"/>
          <w:szCs w:val="28"/>
        </w:rPr>
        <w:t>°</w:t>
      </w:r>
      <w:r w:rsidR="003E501D" w:rsidRPr="003E501D">
        <w:rPr>
          <w:rFonts w:ascii="Times New Roman" w:hAnsi="Times New Roman" w:cs="Times New Roman"/>
          <w:b/>
          <w:sz w:val="28"/>
          <w:szCs w:val="28"/>
        </w:rPr>
        <w:t xml:space="preserve">E                                </w:t>
      </w:r>
    </w:p>
    <w:p w14:paraId="6C7BCB41" w14:textId="793D8038" w:rsidR="00224C85" w:rsidRDefault="003E501D" w:rsidP="003E501D">
      <w:pPr>
        <w:rPr>
          <w:rFonts w:ascii="Times New Roman" w:hAnsi="Times New Roman" w:cs="Times New Roman"/>
          <w:b/>
          <w:sz w:val="28"/>
          <w:szCs w:val="28"/>
        </w:rPr>
      </w:pPr>
      <w:r w:rsidRPr="003E50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C4079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E501D">
        <w:rPr>
          <w:rFonts w:ascii="Times New Roman" w:hAnsi="Times New Roman" w:cs="Times New Roman"/>
          <w:b/>
          <w:sz w:val="28"/>
          <w:szCs w:val="28"/>
        </w:rPr>
        <w:t xml:space="preserve">Docente </w:t>
      </w:r>
      <w:proofErr w:type="gramStart"/>
      <w:r w:rsidRPr="003E501D">
        <w:rPr>
          <w:rFonts w:ascii="Times New Roman" w:hAnsi="Times New Roman" w:cs="Times New Roman"/>
          <w:b/>
          <w:sz w:val="28"/>
          <w:szCs w:val="28"/>
        </w:rPr>
        <w:t>Prof.ssa  Stefania</w:t>
      </w:r>
      <w:proofErr w:type="gramEnd"/>
      <w:r w:rsidRPr="003E501D">
        <w:rPr>
          <w:rFonts w:ascii="Times New Roman" w:hAnsi="Times New Roman" w:cs="Times New Roman"/>
          <w:b/>
          <w:sz w:val="28"/>
          <w:szCs w:val="28"/>
        </w:rPr>
        <w:t xml:space="preserve"> Gizz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5105"/>
      </w:tblGrid>
      <w:tr w:rsidR="00C40798" w:rsidRPr="00C40798" w14:paraId="570A4CA4" w14:textId="77777777" w:rsidTr="00F730D9">
        <w:trPr>
          <w:trHeight w:val="5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316C08" w14:textId="4174A769" w:rsidR="00C40798" w:rsidRPr="00C40798" w:rsidRDefault="00C40798" w:rsidP="00F730D9">
            <w:pPr>
              <w:ind w:hanging="108"/>
              <w:rPr>
                <w:rFonts w:ascii="Times New Roman" w:hAnsi="Times New Roman" w:cs="Times New Roman"/>
              </w:rPr>
            </w:pPr>
            <w:r w:rsidRPr="00C40798">
              <w:rPr>
                <w:rFonts w:ascii="Times New Roman" w:hAnsi="Times New Roman" w:cs="Times New Roman"/>
                <w:b/>
                <w:color w:val="000000"/>
              </w:rPr>
              <w:t xml:space="preserve">MODULO 1: </w:t>
            </w:r>
            <w:r w:rsidR="00083DF5">
              <w:rPr>
                <w:rFonts w:ascii="Times New Roman" w:hAnsi="Times New Roman" w:cs="Times New Roman"/>
                <w:b/>
                <w:color w:val="000000"/>
              </w:rPr>
              <w:t>Termodinamica</w:t>
            </w:r>
          </w:p>
        </w:tc>
      </w:tr>
      <w:tr w:rsidR="00083DF5" w:rsidRPr="00C40798" w14:paraId="0D992C3B" w14:textId="77777777" w:rsidTr="00276ADD">
        <w:trPr>
          <w:trHeight w:val="22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92EAD" w14:textId="086DEA8D" w:rsidR="00083DF5" w:rsidRPr="00083DF5" w:rsidRDefault="00083DF5" w:rsidP="00116607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Richiami sul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 2° principio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9962" w14:textId="0FC6ABAB" w:rsidR="00083DF5" w:rsidRPr="00083DF5" w:rsidRDefault="00083DF5" w:rsidP="00DD6D32">
            <w:pPr>
              <w:pStyle w:val="Predefinito"/>
              <w:spacing w:before="120" w:after="120"/>
              <w:rPr>
                <w:rFonts w:hAnsi="Times New Roman" w:cs="Times New Roman"/>
                <w:sz w:val="22"/>
                <w:szCs w:val="22"/>
              </w:rPr>
            </w:pPr>
            <w:r w:rsidRPr="00083DF5">
              <w:rPr>
                <w:rFonts w:hAnsi="Times New Roman" w:cs="Times New Roman"/>
                <w:sz w:val="22"/>
                <w:szCs w:val="22"/>
              </w:rPr>
              <w:t xml:space="preserve">Gli scambi di energia. L’energia interna di un sistema fisico. Il principio zero della termodinamica. Trasformazioni reali e quasi statiche.                               Il lavoro termodinamico.                                                        Primo principio della termodinamica e sue applicazioni. Calori specifici dei gas perfetti.                                                  </w:t>
            </w:r>
            <w:proofErr w:type="gramStart"/>
            <w:r w:rsidRPr="00083DF5">
              <w:rPr>
                <w:rFonts w:hAnsi="Times New Roman" w:cs="Times New Roman"/>
                <w:sz w:val="22"/>
                <w:szCs w:val="22"/>
              </w:rPr>
              <w:t>La trasformazioni</w:t>
            </w:r>
            <w:proofErr w:type="gramEnd"/>
            <w:r w:rsidRPr="00083DF5">
              <w:rPr>
                <w:rFonts w:hAnsi="Times New Roman" w:cs="Times New Roman"/>
                <w:sz w:val="22"/>
                <w:szCs w:val="22"/>
              </w:rPr>
              <w:t xml:space="preserve"> adiabatiche.</w:t>
            </w:r>
            <w:r w:rsidR="00DD6D32">
              <w:rPr>
                <w:rFonts w:hAnsi="Times New Roman" w:cs="Times New Roman"/>
                <w:sz w:val="22"/>
                <w:szCs w:val="22"/>
              </w:rPr>
              <w:t xml:space="preserve">                                                  </w:t>
            </w:r>
            <w:r w:rsidRPr="00083DF5">
              <w:rPr>
                <w:rFonts w:hAnsi="Times New Roman" w:cs="Times New Roman"/>
                <w:sz w:val="22"/>
                <w:szCs w:val="22"/>
              </w:rPr>
              <w:t xml:space="preserve">Le macchine termiche. </w:t>
            </w:r>
            <w:r w:rsidR="00DD6D32">
              <w:rPr>
                <w:rFonts w:hAnsi="Times New Roman" w:cs="Times New Roman"/>
                <w:sz w:val="22"/>
                <w:szCs w:val="22"/>
              </w:rPr>
              <w:t xml:space="preserve">                                                      </w:t>
            </w:r>
            <w:r w:rsidR="006870AF">
              <w:rPr>
                <w:rFonts w:hAnsi="Times New Roman" w:cs="Times New Roman"/>
              </w:rPr>
              <w:t>E</w:t>
            </w:r>
            <w:r w:rsidRPr="00083DF5">
              <w:rPr>
                <w:rFonts w:hAnsi="Times New Roman" w:cs="Times New Roman"/>
                <w:sz w:val="22"/>
                <w:szCs w:val="22"/>
              </w:rPr>
              <w:t>nunciat</w:t>
            </w:r>
            <w:r w:rsidR="006870AF">
              <w:rPr>
                <w:rFonts w:hAnsi="Times New Roman" w:cs="Times New Roman"/>
              </w:rPr>
              <w:t xml:space="preserve">i di </w:t>
            </w:r>
            <w:r w:rsidRPr="00083DF5">
              <w:rPr>
                <w:rFonts w:hAnsi="Times New Roman" w:cs="Times New Roman"/>
                <w:sz w:val="22"/>
                <w:szCs w:val="22"/>
              </w:rPr>
              <w:t>Lord Kelvin</w:t>
            </w:r>
            <w:r w:rsidR="006870AF">
              <w:rPr>
                <w:rFonts w:hAnsi="Times New Roman" w:cs="Times New Roman"/>
              </w:rPr>
              <w:t xml:space="preserve"> </w:t>
            </w:r>
            <w:proofErr w:type="gramStart"/>
            <w:r w:rsidR="006870AF">
              <w:rPr>
                <w:rFonts w:hAnsi="Times New Roman" w:cs="Times New Roman"/>
              </w:rPr>
              <w:t xml:space="preserve">e </w:t>
            </w:r>
            <w:r w:rsidRPr="00083DF5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="006870AF">
              <w:rPr>
                <w:rFonts w:hAnsi="Times New Roman" w:cs="Times New Roman"/>
              </w:rPr>
              <w:t>di</w:t>
            </w:r>
            <w:proofErr w:type="gramEnd"/>
            <w:r w:rsidRPr="00083DF5">
              <w:rPr>
                <w:rFonts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3DF5">
              <w:rPr>
                <w:rFonts w:hAnsi="Times New Roman" w:cs="Times New Roman"/>
                <w:sz w:val="22"/>
                <w:szCs w:val="22"/>
              </w:rPr>
              <w:t>Clausius</w:t>
            </w:r>
            <w:proofErr w:type="spellEnd"/>
            <w:r w:rsidRPr="00083DF5">
              <w:rPr>
                <w:rFonts w:hAnsi="Times New Roman" w:cs="Times New Roman"/>
                <w:sz w:val="22"/>
                <w:szCs w:val="22"/>
              </w:rPr>
              <w:t xml:space="preserve">. </w:t>
            </w:r>
            <w:r w:rsidR="006870AF">
              <w:rPr>
                <w:rFonts w:hAnsi="Times New Roman" w:cs="Times New Roman"/>
              </w:rPr>
              <w:t xml:space="preserve">                                                                                </w:t>
            </w:r>
            <w:r w:rsidRPr="00083DF5">
              <w:rPr>
                <w:rFonts w:hAnsi="Times New Roman" w:cs="Times New Roman"/>
                <w:sz w:val="22"/>
                <w:szCs w:val="22"/>
              </w:rPr>
              <w:t xml:space="preserve">Terzo enunciato: il rendimento. </w:t>
            </w:r>
            <w:r w:rsidR="006870AF">
              <w:rPr>
                <w:rFonts w:hAnsi="Times New Roman" w:cs="Times New Roman"/>
              </w:rPr>
              <w:t xml:space="preserve">                                   </w:t>
            </w:r>
            <w:r w:rsidRPr="00083DF5">
              <w:rPr>
                <w:rFonts w:hAnsi="Times New Roman" w:cs="Times New Roman"/>
                <w:sz w:val="22"/>
                <w:szCs w:val="22"/>
              </w:rPr>
              <w:t xml:space="preserve">Trasformazioni reversibili e irreversibili. </w:t>
            </w:r>
            <w:r w:rsidR="006870AF">
              <w:rPr>
                <w:rFonts w:hAnsi="Times New Roman" w:cs="Times New Roman"/>
              </w:rPr>
              <w:t xml:space="preserve">                       </w:t>
            </w:r>
            <w:r w:rsidRPr="00083DF5">
              <w:rPr>
                <w:rFonts w:hAnsi="Times New Roman" w:cs="Times New Roman"/>
                <w:sz w:val="22"/>
                <w:szCs w:val="22"/>
              </w:rPr>
              <w:t xml:space="preserve">Teorema di Carnot. Ciclo di Carnot. </w:t>
            </w:r>
            <w:r w:rsidR="006870AF">
              <w:rPr>
                <w:rFonts w:hAnsi="Times New Roman" w:cs="Times New Roman"/>
              </w:rPr>
              <w:t xml:space="preserve">                                 </w:t>
            </w:r>
            <w:r w:rsidRPr="00083DF5">
              <w:rPr>
                <w:rFonts w:hAnsi="Times New Roman" w:cs="Times New Roman"/>
                <w:sz w:val="22"/>
                <w:szCs w:val="22"/>
              </w:rPr>
              <w:t xml:space="preserve">Rendimento di una macchina di Carnot. </w:t>
            </w:r>
            <w:r w:rsidR="006870AF">
              <w:rPr>
                <w:rFonts w:hAnsi="Times New Roman" w:cs="Times New Roman"/>
              </w:rPr>
              <w:t xml:space="preserve">                              </w:t>
            </w:r>
            <w:r w:rsidRPr="00083DF5">
              <w:rPr>
                <w:rFonts w:hAnsi="Times New Roman" w:cs="Times New Roman"/>
                <w:sz w:val="22"/>
                <w:szCs w:val="22"/>
              </w:rPr>
              <w:t>Il motore dell’automobile. Il frigorifero.</w:t>
            </w:r>
          </w:p>
        </w:tc>
      </w:tr>
      <w:tr w:rsidR="00116607" w:rsidRPr="00C40798" w14:paraId="2C6B3028" w14:textId="77777777" w:rsidTr="00276ADD">
        <w:trPr>
          <w:trHeight w:val="22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E3A2D" w14:textId="2BD58AFE" w:rsidR="00116607" w:rsidRPr="00083DF5" w:rsidRDefault="00083DF5" w:rsidP="00116607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083D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Entropia e disordine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1255" w14:textId="5F57DB3A" w:rsidR="00116607" w:rsidRPr="00083DF5" w:rsidRDefault="00083DF5" w:rsidP="00116607">
            <w:pPr>
              <w:rPr>
                <w:rFonts w:ascii="Times New Roman" w:hAnsi="Times New Roman" w:cs="Times New Roman"/>
              </w:rPr>
            </w:pPr>
            <w:r w:rsidRPr="00083DF5">
              <w:rPr>
                <w:rFonts w:ascii="Times New Roman" w:hAnsi="Times New Roman" w:cs="Times New Roman"/>
              </w:rPr>
              <w:t xml:space="preserve">La disuguaglianza di </w:t>
            </w:r>
            <w:proofErr w:type="spellStart"/>
            <w:r w:rsidRPr="00083DF5">
              <w:rPr>
                <w:rFonts w:ascii="Times New Roman" w:hAnsi="Times New Roman" w:cs="Times New Roman"/>
              </w:rPr>
              <w:t>Clausius</w:t>
            </w:r>
            <w:proofErr w:type="spellEnd"/>
            <w:r w:rsidRPr="00083DF5">
              <w:rPr>
                <w:rFonts w:ascii="Times New Roman" w:hAnsi="Times New Roman" w:cs="Times New Roman"/>
              </w:rPr>
              <w:t xml:space="preserve">. L’entropia. L’entropia di un sistema isolato. Il quarto enunciato del secondo principio. L’entropia di un sistema non isolato.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083DF5">
              <w:rPr>
                <w:rFonts w:ascii="Times New Roman" w:hAnsi="Times New Roman" w:cs="Times New Roman"/>
              </w:rPr>
              <w:t xml:space="preserve">Il secondo principio dal punto di vista molecolare.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083DF5">
              <w:rPr>
                <w:rFonts w:ascii="Times New Roman" w:hAnsi="Times New Roman" w:cs="Times New Roman"/>
              </w:rPr>
              <w:t xml:space="preserve">Stati macroscopici e microscopici.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083DF5">
              <w:rPr>
                <w:rFonts w:ascii="Times New Roman" w:hAnsi="Times New Roman" w:cs="Times New Roman"/>
              </w:rPr>
              <w:t xml:space="preserve">L’equazione di </w:t>
            </w:r>
            <w:proofErr w:type="spellStart"/>
            <w:r w:rsidRPr="00083DF5">
              <w:rPr>
                <w:rFonts w:ascii="Times New Roman" w:hAnsi="Times New Roman" w:cs="Times New Roman"/>
              </w:rPr>
              <w:t>Boltzmann</w:t>
            </w:r>
            <w:proofErr w:type="spellEnd"/>
            <w:r w:rsidRPr="00083DF5">
              <w:rPr>
                <w:rFonts w:ascii="Times New Roman" w:hAnsi="Times New Roman" w:cs="Times New Roman"/>
              </w:rPr>
              <w:t xml:space="preserve"> per l’entropia.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083DF5">
              <w:rPr>
                <w:rFonts w:ascii="Times New Roman" w:hAnsi="Times New Roman" w:cs="Times New Roman"/>
              </w:rPr>
              <w:t>Il terzo principio della termodinamica.</w:t>
            </w:r>
          </w:p>
        </w:tc>
      </w:tr>
    </w:tbl>
    <w:p w14:paraId="272329E0" w14:textId="77777777" w:rsidR="00C40798" w:rsidRDefault="00C40798" w:rsidP="00C40798">
      <w:pPr>
        <w:pStyle w:val="Predefinito"/>
        <w:rPr>
          <w:rFonts w:eastAsia="Times New Roman Bold" w:hAnsi="Times New Roman" w:cs="Times New Roman"/>
          <w:b/>
          <w:sz w:val="22"/>
          <w:szCs w:val="22"/>
        </w:rPr>
      </w:pPr>
    </w:p>
    <w:p w14:paraId="0B0A4AD3" w14:textId="77777777" w:rsidR="00224C85" w:rsidRPr="00C40798" w:rsidRDefault="00224C85" w:rsidP="00C40798">
      <w:pPr>
        <w:pStyle w:val="Predefinito"/>
        <w:rPr>
          <w:rFonts w:eastAsia="Times New Roman Bold" w:hAnsi="Times New Roman" w:cs="Times New Roman"/>
          <w:b/>
          <w:sz w:val="22"/>
          <w:szCs w:val="22"/>
        </w:rPr>
      </w:pPr>
    </w:p>
    <w:p w14:paraId="24E528F7" w14:textId="77777777" w:rsidR="00C40798" w:rsidRPr="00C40798" w:rsidRDefault="00C40798" w:rsidP="00C40798">
      <w:pPr>
        <w:pStyle w:val="Predefinito"/>
        <w:rPr>
          <w:rFonts w:eastAsia="Times New Roman Bold" w:hAnsi="Times New Roman" w:cs="Times New Roman"/>
          <w:b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5105"/>
      </w:tblGrid>
      <w:tr w:rsidR="00C40798" w:rsidRPr="00C40798" w14:paraId="5FEA3613" w14:textId="77777777" w:rsidTr="00F730D9">
        <w:trPr>
          <w:trHeight w:val="5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615AEF" w14:textId="60007600" w:rsidR="00C40798" w:rsidRPr="00C40798" w:rsidRDefault="00C40798" w:rsidP="00F730D9">
            <w:pPr>
              <w:ind w:hanging="108"/>
              <w:rPr>
                <w:rFonts w:ascii="Times New Roman" w:hAnsi="Times New Roman" w:cs="Times New Roman"/>
              </w:rPr>
            </w:pPr>
            <w:r w:rsidRPr="00C40798">
              <w:rPr>
                <w:rFonts w:ascii="Times New Roman" w:hAnsi="Times New Roman" w:cs="Times New Roman"/>
                <w:b/>
                <w:color w:val="000000"/>
              </w:rPr>
              <w:t xml:space="preserve">MODULO 2: </w:t>
            </w:r>
            <w:r w:rsidR="00083DF5">
              <w:rPr>
                <w:rFonts w:ascii="Times New Roman" w:hAnsi="Times New Roman" w:cs="Times New Roman"/>
                <w:b/>
                <w:color w:val="000000"/>
              </w:rPr>
              <w:t>Onde</w:t>
            </w:r>
          </w:p>
        </w:tc>
      </w:tr>
      <w:tr w:rsidR="00116607" w:rsidRPr="00C40798" w14:paraId="486FCAA9" w14:textId="77777777" w:rsidTr="00276ADD">
        <w:trPr>
          <w:trHeight w:val="15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B620C" w14:textId="023B28B0" w:rsidR="00116607" w:rsidRPr="00116607" w:rsidRDefault="00083DF5" w:rsidP="00F730D9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Onde elastiche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5A09" w14:textId="40DA288B" w:rsidR="00116607" w:rsidRPr="00083DF5" w:rsidRDefault="00083DF5" w:rsidP="00F730D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83DF5">
              <w:rPr>
                <w:rFonts w:ascii="Times New Roman" w:hAnsi="Times New Roman" w:cs="Times New Roman"/>
              </w:rPr>
              <w:t>Le onde. Fronti d’onda e raggi. Le onde periodiche. Le onde armoniche. L’interferenza. L’interferenza in un piano e nello spazio.</w:t>
            </w:r>
          </w:p>
        </w:tc>
      </w:tr>
      <w:tr w:rsidR="00083DF5" w:rsidRPr="00C40798" w14:paraId="5462E203" w14:textId="77777777" w:rsidTr="00276ADD">
        <w:trPr>
          <w:trHeight w:val="15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64011" w14:textId="210F98EC" w:rsidR="00083DF5" w:rsidRPr="00116607" w:rsidRDefault="00083DF5" w:rsidP="00083DF5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 suono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6185" w14:textId="48A16FEB" w:rsidR="00083DF5" w:rsidRPr="00083DF5" w:rsidRDefault="00083DF5" w:rsidP="00083DF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83DF5">
              <w:rPr>
                <w:rFonts w:ascii="Times New Roman" w:hAnsi="Times New Roman" w:cs="Times New Roman"/>
              </w:rPr>
              <w:t xml:space="preserve">Le onde sonore. Le caratteristiche del suono. </w:t>
            </w:r>
            <w:r w:rsidR="006870AF">
              <w:rPr>
                <w:rFonts w:ascii="Times New Roman" w:hAnsi="Times New Roman" w:cs="Times New Roman"/>
              </w:rPr>
              <w:t xml:space="preserve">                    </w:t>
            </w:r>
            <w:r w:rsidRPr="00083DF5">
              <w:rPr>
                <w:rFonts w:ascii="Times New Roman" w:hAnsi="Times New Roman" w:cs="Times New Roman"/>
              </w:rPr>
              <w:t xml:space="preserve">I limiti dell’udibilità. </w:t>
            </w:r>
            <w:r w:rsidR="006870AF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Pr="00083DF5">
              <w:rPr>
                <w:rFonts w:ascii="Times New Roman" w:hAnsi="Times New Roman" w:cs="Times New Roman"/>
              </w:rPr>
              <w:t xml:space="preserve">L’eco. Le onde stazionarie. </w:t>
            </w:r>
            <w:r w:rsidR="006870AF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Pr="00083DF5">
              <w:rPr>
                <w:rFonts w:ascii="Times New Roman" w:hAnsi="Times New Roman" w:cs="Times New Roman"/>
              </w:rPr>
              <w:t>I battimenti. L’effetto Doppler.</w:t>
            </w:r>
          </w:p>
        </w:tc>
      </w:tr>
      <w:tr w:rsidR="00083DF5" w:rsidRPr="00C40798" w14:paraId="4C3A228F" w14:textId="77777777" w:rsidTr="00276ADD">
        <w:trPr>
          <w:trHeight w:val="15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A63E2" w14:textId="057803C8" w:rsidR="00083DF5" w:rsidRPr="00116607" w:rsidRDefault="00083DF5" w:rsidP="00083DF5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 onde luminose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DDB" w14:textId="44D05B15" w:rsidR="00083DF5" w:rsidRPr="00083DF5" w:rsidRDefault="00083DF5" w:rsidP="00083DF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83DF5">
              <w:rPr>
                <w:rFonts w:ascii="Times New Roman" w:hAnsi="Times New Roman" w:cs="Times New Roman"/>
              </w:rPr>
              <w:t xml:space="preserve">Onde e corpuscoli. </w:t>
            </w:r>
            <w:r w:rsidR="006870AF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Pr="00083DF5">
              <w:rPr>
                <w:rFonts w:ascii="Times New Roman" w:hAnsi="Times New Roman" w:cs="Times New Roman"/>
              </w:rPr>
              <w:t xml:space="preserve">L’irradiamento e l’intensità di radiazione. </w:t>
            </w:r>
            <w:r w:rsidR="006870AF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083DF5">
              <w:rPr>
                <w:rFonts w:ascii="Times New Roman" w:hAnsi="Times New Roman" w:cs="Times New Roman"/>
              </w:rPr>
              <w:t xml:space="preserve">Le grandezze fotometriche. </w:t>
            </w:r>
            <w:r w:rsidR="006870AF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083DF5">
              <w:rPr>
                <w:rFonts w:ascii="Times New Roman" w:hAnsi="Times New Roman" w:cs="Times New Roman"/>
              </w:rPr>
              <w:t xml:space="preserve">L’interferenza della luce. Il fenomeno della diffrazione. La diffrazione della luce. Il reticolo di diffrazione. </w:t>
            </w:r>
            <w:r w:rsidR="006870AF">
              <w:rPr>
                <w:rFonts w:ascii="Times New Roman" w:hAnsi="Times New Roman" w:cs="Times New Roman"/>
              </w:rPr>
              <w:t xml:space="preserve">                   </w:t>
            </w:r>
            <w:r w:rsidRPr="00083DF5">
              <w:rPr>
                <w:rFonts w:ascii="Times New Roman" w:hAnsi="Times New Roman" w:cs="Times New Roman"/>
              </w:rPr>
              <w:lastRenderedPageBreak/>
              <w:t xml:space="preserve">I colori e la lunghezza d’onda. </w:t>
            </w:r>
            <w:r w:rsidR="006870AF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083DF5">
              <w:rPr>
                <w:rFonts w:ascii="Times New Roman" w:hAnsi="Times New Roman" w:cs="Times New Roman"/>
              </w:rPr>
              <w:t>L’emissione e l’assorbimento della luce.</w:t>
            </w:r>
          </w:p>
        </w:tc>
      </w:tr>
    </w:tbl>
    <w:p w14:paraId="03BE8280" w14:textId="77777777" w:rsidR="00C40798" w:rsidRPr="00C40798" w:rsidRDefault="00C40798" w:rsidP="006870AF">
      <w:pPr>
        <w:pStyle w:val="Predefinito"/>
        <w:rPr>
          <w:rFonts w:eastAsia="Times New Roman Bold" w:hAnsi="Times New Roman" w:cs="Times New Roman"/>
          <w:b/>
          <w:color w:val="auto"/>
          <w:sz w:val="22"/>
          <w:szCs w:val="22"/>
        </w:rPr>
      </w:pPr>
    </w:p>
    <w:p w14:paraId="134925E8" w14:textId="77777777" w:rsidR="00224C85" w:rsidRDefault="00224C85" w:rsidP="009A13A3">
      <w:pPr>
        <w:pStyle w:val="Predefinito"/>
        <w:rPr>
          <w:rFonts w:eastAsia="Times New Roman Bold" w:hAnsi="Times New Roman" w:cs="Times New Roman"/>
          <w:b/>
          <w:color w:val="auto"/>
          <w:sz w:val="22"/>
          <w:szCs w:val="22"/>
        </w:rPr>
      </w:pPr>
    </w:p>
    <w:p w14:paraId="7840012E" w14:textId="77777777" w:rsidR="00224C85" w:rsidRPr="00C40798" w:rsidRDefault="00224C85" w:rsidP="009A13A3">
      <w:pPr>
        <w:pStyle w:val="Predefinito"/>
        <w:rPr>
          <w:rFonts w:eastAsia="Times New Roman Bold" w:hAnsi="Times New Roman" w:cs="Times New Roman"/>
          <w:b/>
          <w:color w:val="auto"/>
          <w:sz w:val="22"/>
          <w:szCs w:val="22"/>
        </w:rPr>
      </w:pPr>
    </w:p>
    <w:tbl>
      <w:tblPr>
        <w:tblStyle w:val="Grigliatabel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1"/>
        <w:gridCol w:w="5067"/>
      </w:tblGrid>
      <w:tr w:rsidR="00C40798" w:rsidRPr="00C40798" w14:paraId="4F425F8D" w14:textId="77777777" w:rsidTr="00F730D9">
        <w:trPr>
          <w:trHeight w:val="556"/>
        </w:trPr>
        <w:tc>
          <w:tcPr>
            <w:tcW w:w="9778" w:type="dxa"/>
            <w:gridSpan w:val="2"/>
          </w:tcPr>
          <w:p w14:paraId="4A7A41FD" w14:textId="4FDC57D3" w:rsidR="00C40798" w:rsidRPr="00C40798" w:rsidRDefault="00C40798" w:rsidP="00F730D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40798">
              <w:rPr>
                <w:rFonts w:ascii="Times New Roman" w:hAnsi="Times New Roman" w:cs="Times New Roman"/>
                <w:b/>
              </w:rPr>
              <w:t xml:space="preserve">Modulo </w:t>
            </w:r>
            <w:r w:rsidR="006870AF">
              <w:rPr>
                <w:rFonts w:ascii="Times New Roman" w:hAnsi="Times New Roman" w:cs="Times New Roman"/>
                <w:b/>
              </w:rPr>
              <w:t>3: Il campo elettrico</w:t>
            </w:r>
          </w:p>
        </w:tc>
      </w:tr>
      <w:tr w:rsidR="00C40798" w:rsidRPr="00C40798" w14:paraId="1865158C" w14:textId="77777777" w:rsidTr="00276A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11" w:type="dxa"/>
          </w:tcPr>
          <w:p w14:paraId="4058797E" w14:textId="1B799ED8" w:rsidR="00C40798" w:rsidRPr="006870AF" w:rsidRDefault="006870AF" w:rsidP="00F730D9">
            <w:pPr>
              <w:rPr>
                <w:rFonts w:ascii="Times New Roman" w:hAnsi="Times New Roman" w:cs="Times New Roman"/>
                <w:b/>
                <w:bCs/>
              </w:rPr>
            </w:pPr>
            <w:r w:rsidRPr="006870AF">
              <w:rPr>
                <w:rFonts w:ascii="Times New Roman" w:hAnsi="Times New Roman" w:cs="Times New Roman"/>
                <w:b/>
                <w:bCs/>
              </w:rPr>
              <w:t>La carica elettrica e la Legge di Coulomb</w:t>
            </w:r>
          </w:p>
        </w:tc>
        <w:tc>
          <w:tcPr>
            <w:tcW w:w="5067" w:type="dxa"/>
          </w:tcPr>
          <w:p w14:paraId="478A1C1B" w14:textId="5C1494B9" w:rsidR="00276ADD" w:rsidRPr="00187642" w:rsidRDefault="006870AF" w:rsidP="00F730D9">
            <w:pPr>
              <w:rPr>
                <w:rFonts w:ascii="Times New Roman" w:hAnsi="Times New Roman" w:cs="Times New Roman"/>
              </w:rPr>
            </w:pPr>
            <w:r w:rsidRPr="00187642">
              <w:rPr>
                <w:rFonts w:ascii="Times New Roman" w:hAnsi="Times New Roman" w:cs="Times New Roman"/>
              </w:rPr>
              <w:t xml:space="preserve">L’elettrizzazione per strofinio. </w:t>
            </w:r>
            <w:r w:rsidR="00187642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Pr="00187642">
              <w:rPr>
                <w:rFonts w:ascii="Times New Roman" w:hAnsi="Times New Roman" w:cs="Times New Roman"/>
              </w:rPr>
              <w:t>I conduttori e gli isolanti</w:t>
            </w:r>
            <w:r w:rsidR="00187642">
              <w:rPr>
                <w:rFonts w:ascii="Times New Roman" w:hAnsi="Times New Roman" w:cs="Times New Roman"/>
              </w:rPr>
              <w:t>.</w:t>
            </w:r>
            <w:r w:rsidRPr="00187642">
              <w:rPr>
                <w:rFonts w:ascii="Times New Roman" w:hAnsi="Times New Roman" w:cs="Times New Roman"/>
              </w:rPr>
              <w:t xml:space="preserve"> </w:t>
            </w:r>
            <w:r w:rsidR="00187642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Pr="00187642">
              <w:rPr>
                <w:rFonts w:ascii="Times New Roman" w:hAnsi="Times New Roman" w:cs="Times New Roman"/>
              </w:rPr>
              <w:t xml:space="preserve">La definizione operativa di carica elettrica. </w:t>
            </w:r>
            <w:r w:rsidR="00187642">
              <w:rPr>
                <w:rFonts w:ascii="Times New Roman" w:hAnsi="Times New Roman" w:cs="Times New Roman"/>
              </w:rPr>
              <w:t xml:space="preserve">                                </w:t>
            </w:r>
            <w:r w:rsidRPr="00187642">
              <w:rPr>
                <w:rFonts w:ascii="Times New Roman" w:hAnsi="Times New Roman" w:cs="Times New Roman"/>
              </w:rPr>
              <w:t xml:space="preserve">La Legge di Coulomb. L’esperimento di Coulomb. </w:t>
            </w:r>
            <w:r w:rsidR="00187642">
              <w:rPr>
                <w:rFonts w:ascii="Times New Roman" w:hAnsi="Times New Roman" w:cs="Times New Roman"/>
              </w:rPr>
              <w:t xml:space="preserve">                           </w:t>
            </w:r>
            <w:r w:rsidRPr="00187642">
              <w:rPr>
                <w:rFonts w:ascii="Times New Roman" w:hAnsi="Times New Roman" w:cs="Times New Roman"/>
              </w:rPr>
              <w:t xml:space="preserve">La forza di Coulomb nella materia. </w:t>
            </w:r>
            <w:r w:rsidR="00187642">
              <w:rPr>
                <w:rFonts w:ascii="Times New Roman" w:hAnsi="Times New Roman" w:cs="Times New Roman"/>
              </w:rPr>
              <w:t xml:space="preserve">                      </w:t>
            </w:r>
            <w:r w:rsidRPr="00187642">
              <w:rPr>
                <w:rFonts w:ascii="Times New Roman" w:hAnsi="Times New Roman" w:cs="Times New Roman"/>
              </w:rPr>
              <w:t>L’elettrizzazione per induzione.</w:t>
            </w:r>
          </w:p>
        </w:tc>
      </w:tr>
      <w:tr w:rsidR="006870AF" w:rsidRPr="00C40798" w14:paraId="73C334B5" w14:textId="77777777" w:rsidTr="00276A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11" w:type="dxa"/>
          </w:tcPr>
          <w:p w14:paraId="78F85840" w14:textId="3B5B4D16" w:rsidR="006870AF" w:rsidRPr="00187642" w:rsidRDefault="006870AF" w:rsidP="006870AF">
            <w:pPr>
              <w:rPr>
                <w:rFonts w:ascii="Times New Roman" w:hAnsi="Times New Roman" w:cs="Times New Roman"/>
                <w:b/>
                <w:bCs/>
              </w:rPr>
            </w:pPr>
            <w:r w:rsidRPr="00187642">
              <w:rPr>
                <w:rFonts w:ascii="Times New Roman" w:hAnsi="Times New Roman" w:cs="Times New Roman"/>
                <w:b/>
                <w:bCs/>
              </w:rPr>
              <w:t>Il campo elettrico</w:t>
            </w:r>
          </w:p>
        </w:tc>
        <w:tc>
          <w:tcPr>
            <w:tcW w:w="5067" w:type="dxa"/>
          </w:tcPr>
          <w:p w14:paraId="25602048" w14:textId="1EEE7702" w:rsidR="006870AF" w:rsidRPr="00187642" w:rsidRDefault="006870AF" w:rsidP="006870AF">
            <w:pPr>
              <w:rPr>
                <w:rFonts w:ascii="Times New Roman" w:hAnsi="Times New Roman" w:cs="Times New Roman"/>
              </w:rPr>
            </w:pPr>
            <w:r w:rsidRPr="00187642">
              <w:rPr>
                <w:rFonts w:ascii="Times New Roman" w:hAnsi="Times New Roman" w:cs="Times New Roman"/>
              </w:rPr>
              <w:t xml:space="preserve">Il vettore campo elettrico. </w:t>
            </w:r>
            <w:r w:rsidR="00187642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Pr="00187642">
              <w:rPr>
                <w:rFonts w:ascii="Times New Roman" w:hAnsi="Times New Roman" w:cs="Times New Roman"/>
              </w:rPr>
              <w:t xml:space="preserve">Il campo elettrico di una carica puntiforme. </w:t>
            </w:r>
            <w:r w:rsidR="00187642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187642">
              <w:rPr>
                <w:rFonts w:ascii="Times New Roman" w:hAnsi="Times New Roman" w:cs="Times New Roman"/>
              </w:rPr>
              <w:t xml:space="preserve">Le linee di campo elettrico. </w:t>
            </w:r>
            <w:r w:rsidR="00187642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Pr="00187642">
              <w:rPr>
                <w:rFonts w:ascii="Times New Roman" w:hAnsi="Times New Roman" w:cs="Times New Roman"/>
              </w:rPr>
              <w:t>Il flusso di un campo vettoriale attraverso una superficie</w:t>
            </w:r>
            <w:r w:rsidR="00187642">
              <w:rPr>
                <w:rFonts w:ascii="Times New Roman" w:hAnsi="Times New Roman" w:cs="Times New Roman"/>
              </w:rPr>
              <w:t>:</w:t>
            </w:r>
            <w:r w:rsidRPr="00187642">
              <w:rPr>
                <w:rFonts w:ascii="Times New Roman" w:hAnsi="Times New Roman" w:cs="Times New Roman"/>
              </w:rPr>
              <w:t xml:space="preserve"> </w:t>
            </w:r>
            <w:r w:rsidR="00187642">
              <w:rPr>
                <w:rFonts w:ascii="Times New Roman" w:hAnsi="Times New Roman" w:cs="Times New Roman"/>
              </w:rPr>
              <w:t>i</w:t>
            </w:r>
            <w:r w:rsidRPr="00187642">
              <w:rPr>
                <w:rFonts w:ascii="Times New Roman" w:hAnsi="Times New Roman" w:cs="Times New Roman"/>
              </w:rPr>
              <w:t>l flusso di campo elettrico e il te</w:t>
            </w:r>
            <w:r w:rsidR="00187642">
              <w:rPr>
                <w:rFonts w:ascii="Times New Roman" w:hAnsi="Times New Roman" w:cs="Times New Roman"/>
              </w:rPr>
              <w:t>or</w:t>
            </w:r>
            <w:r w:rsidRPr="00187642">
              <w:rPr>
                <w:rFonts w:ascii="Times New Roman" w:hAnsi="Times New Roman" w:cs="Times New Roman"/>
              </w:rPr>
              <w:t xml:space="preserve">ema di Gauss. </w:t>
            </w:r>
            <w:r w:rsidR="00187642"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 w:rsidRPr="00187642">
              <w:rPr>
                <w:rFonts w:ascii="Times New Roman" w:hAnsi="Times New Roman" w:cs="Times New Roman"/>
              </w:rPr>
              <w:t>Il campo elettrico di una distribuzione piana infinita di carica</w:t>
            </w:r>
            <w:r w:rsidR="00187642">
              <w:rPr>
                <w:rFonts w:ascii="Times New Roman" w:hAnsi="Times New Roman" w:cs="Times New Roman"/>
              </w:rPr>
              <w:t>, di una distribuzione lineare uniforme di carica e di una distribuzione sferica.</w:t>
            </w:r>
            <w:r w:rsidRPr="00187642">
              <w:rPr>
                <w:rFonts w:ascii="Times New Roman" w:hAnsi="Times New Roman" w:cs="Times New Roman"/>
              </w:rPr>
              <w:t xml:space="preserve"> </w:t>
            </w:r>
            <w:r w:rsidR="00187642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Pr="00187642">
              <w:rPr>
                <w:rFonts w:ascii="Times New Roman" w:hAnsi="Times New Roman" w:cs="Times New Roman"/>
              </w:rPr>
              <w:t xml:space="preserve">Altri campi elettrici con particolari simmetrie. </w:t>
            </w:r>
          </w:p>
        </w:tc>
      </w:tr>
      <w:tr w:rsidR="006870AF" w:rsidRPr="00C40798" w14:paraId="36552653" w14:textId="77777777" w:rsidTr="00276A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11" w:type="dxa"/>
          </w:tcPr>
          <w:p w14:paraId="391681D1" w14:textId="1BA6DBE4" w:rsidR="006870AF" w:rsidRPr="00187642" w:rsidRDefault="006870AF" w:rsidP="006870AF">
            <w:pPr>
              <w:rPr>
                <w:rFonts w:ascii="Times New Roman" w:hAnsi="Times New Roman" w:cs="Times New Roman"/>
                <w:b/>
                <w:bCs/>
              </w:rPr>
            </w:pPr>
            <w:r w:rsidRPr="00187642">
              <w:rPr>
                <w:rFonts w:ascii="Times New Roman" w:hAnsi="Times New Roman" w:cs="Times New Roman"/>
                <w:b/>
                <w:bCs/>
              </w:rPr>
              <w:t>Il potenziale elettrico</w:t>
            </w:r>
          </w:p>
        </w:tc>
        <w:tc>
          <w:tcPr>
            <w:tcW w:w="5067" w:type="dxa"/>
          </w:tcPr>
          <w:p w14:paraId="2F7F00F9" w14:textId="5A8BE13D" w:rsidR="006870AF" w:rsidRPr="00187642" w:rsidRDefault="006870AF" w:rsidP="006870AF">
            <w:pPr>
              <w:rPr>
                <w:rFonts w:ascii="Times New Roman" w:hAnsi="Times New Roman" w:cs="Times New Roman"/>
              </w:rPr>
            </w:pPr>
            <w:r w:rsidRPr="00187642">
              <w:rPr>
                <w:rFonts w:ascii="Times New Roman" w:hAnsi="Times New Roman" w:cs="Times New Roman"/>
              </w:rPr>
              <w:t xml:space="preserve">L’energia potenziale elettrica. </w:t>
            </w:r>
            <w:r w:rsidR="00187642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187642">
              <w:rPr>
                <w:rFonts w:ascii="Times New Roman" w:hAnsi="Times New Roman" w:cs="Times New Roman"/>
              </w:rPr>
              <w:t xml:space="preserve">Il potenziale elettrico. Le superfici equipotenziali. </w:t>
            </w:r>
            <w:r w:rsidR="00187642">
              <w:rPr>
                <w:rFonts w:ascii="Times New Roman" w:hAnsi="Times New Roman" w:cs="Times New Roman"/>
              </w:rPr>
              <w:t xml:space="preserve">                      </w:t>
            </w:r>
            <w:r w:rsidRPr="00187642">
              <w:rPr>
                <w:rFonts w:ascii="Times New Roman" w:hAnsi="Times New Roman" w:cs="Times New Roman"/>
              </w:rPr>
              <w:t xml:space="preserve">La deduzione del campo elettrico dal potenziale. </w:t>
            </w:r>
            <w:r w:rsidR="00187642">
              <w:rPr>
                <w:rFonts w:ascii="Times New Roman" w:hAnsi="Times New Roman" w:cs="Times New Roman"/>
              </w:rPr>
              <w:t xml:space="preserve">                  </w:t>
            </w:r>
            <w:r w:rsidRPr="00187642">
              <w:rPr>
                <w:rFonts w:ascii="Times New Roman" w:hAnsi="Times New Roman" w:cs="Times New Roman"/>
              </w:rPr>
              <w:t>La circuitazione del campo elettrostatico.</w:t>
            </w:r>
          </w:p>
        </w:tc>
      </w:tr>
      <w:tr w:rsidR="006870AF" w:rsidRPr="00C40798" w14:paraId="43C01353" w14:textId="77777777" w:rsidTr="00276A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11" w:type="dxa"/>
          </w:tcPr>
          <w:p w14:paraId="2CB9D457" w14:textId="54A142BC" w:rsidR="006870AF" w:rsidRPr="00187642" w:rsidRDefault="006870AF" w:rsidP="006870AF">
            <w:pPr>
              <w:rPr>
                <w:rFonts w:ascii="Times New Roman" w:hAnsi="Times New Roman" w:cs="Times New Roman"/>
                <w:b/>
                <w:bCs/>
              </w:rPr>
            </w:pPr>
            <w:r w:rsidRPr="00187642">
              <w:rPr>
                <w:rFonts w:ascii="Times New Roman" w:hAnsi="Times New Roman" w:cs="Times New Roman"/>
                <w:b/>
                <w:bCs/>
              </w:rPr>
              <w:t>Fenomeni di elettrostatica</w:t>
            </w:r>
          </w:p>
        </w:tc>
        <w:tc>
          <w:tcPr>
            <w:tcW w:w="5067" w:type="dxa"/>
          </w:tcPr>
          <w:p w14:paraId="28EDB444" w14:textId="77777777" w:rsidR="00A1530F" w:rsidRDefault="006870AF" w:rsidP="00A1530F">
            <w:pPr>
              <w:jc w:val="both"/>
              <w:rPr>
                <w:rFonts w:ascii="Times New Roman" w:hAnsi="Times New Roman" w:cs="Times New Roman"/>
              </w:rPr>
            </w:pPr>
            <w:r w:rsidRPr="00187642">
              <w:rPr>
                <w:rFonts w:ascii="Times New Roman" w:hAnsi="Times New Roman" w:cs="Times New Roman"/>
              </w:rPr>
              <w:t>La distribuzione della carica nei conduttori in equilibrio elet</w:t>
            </w:r>
            <w:r w:rsidR="00A1530F">
              <w:rPr>
                <w:rFonts w:ascii="Times New Roman" w:hAnsi="Times New Roman" w:cs="Times New Roman"/>
              </w:rPr>
              <w:t>t</w:t>
            </w:r>
            <w:r w:rsidRPr="00187642">
              <w:rPr>
                <w:rFonts w:ascii="Times New Roman" w:hAnsi="Times New Roman" w:cs="Times New Roman"/>
              </w:rPr>
              <w:t xml:space="preserve">rostatico. </w:t>
            </w:r>
            <w:r w:rsidR="00A1530F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  <w:p w14:paraId="7013D42F" w14:textId="5321C167" w:rsidR="006870AF" w:rsidRPr="00187642" w:rsidRDefault="00A1530F" w:rsidP="00A15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6870AF" w:rsidRPr="00187642">
              <w:rPr>
                <w:rFonts w:ascii="Times New Roman" w:hAnsi="Times New Roman" w:cs="Times New Roman"/>
              </w:rPr>
              <w:t>l campo elettrico e il potenziale in un conduttore all’equilibrio. Il problema generale dell’elettrostatica. La capacità di un conduttore.</w:t>
            </w:r>
            <w:r w:rsidR="00187642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6870AF" w:rsidRPr="00187642">
              <w:rPr>
                <w:rFonts w:ascii="Times New Roman" w:hAnsi="Times New Roman" w:cs="Times New Roman"/>
              </w:rPr>
              <w:t xml:space="preserve"> Il condensatore. La capacità del condensatore sferico. Condensatori in serie e parallelo. </w:t>
            </w:r>
            <w:r w:rsidR="00187642">
              <w:rPr>
                <w:rFonts w:ascii="Times New Roman" w:hAnsi="Times New Roman" w:cs="Times New Roman"/>
              </w:rPr>
              <w:t xml:space="preserve">                                  </w:t>
            </w:r>
            <w:r w:rsidR="006870AF" w:rsidRPr="00187642">
              <w:rPr>
                <w:rFonts w:ascii="Times New Roman" w:hAnsi="Times New Roman" w:cs="Times New Roman"/>
              </w:rPr>
              <w:t>Energia immagazzinata in un condensatore.</w:t>
            </w:r>
            <w:r w:rsidR="00187642">
              <w:rPr>
                <w:rFonts w:ascii="Times New Roman" w:hAnsi="Times New Roman" w:cs="Times New Roman"/>
              </w:rPr>
              <w:t xml:space="preserve">                       </w:t>
            </w:r>
            <w:r w:rsidR="006870AF" w:rsidRPr="00187642">
              <w:rPr>
                <w:rFonts w:ascii="Times New Roman" w:hAnsi="Times New Roman" w:cs="Times New Roman"/>
              </w:rPr>
              <w:t xml:space="preserve"> Verso le equazioni di Maxwell. </w:t>
            </w:r>
          </w:p>
        </w:tc>
      </w:tr>
      <w:tr w:rsidR="006870AF" w:rsidRPr="00C40798" w14:paraId="56D7320D" w14:textId="77777777" w:rsidTr="00276A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11" w:type="dxa"/>
          </w:tcPr>
          <w:p w14:paraId="40C154D4" w14:textId="787D75EB" w:rsidR="006870AF" w:rsidRPr="00187642" w:rsidRDefault="006870AF" w:rsidP="006870AF">
            <w:pPr>
              <w:rPr>
                <w:rFonts w:ascii="Times New Roman" w:hAnsi="Times New Roman" w:cs="Times New Roman"/>
                <w:b/>
                <w:bCs/>
              </w:rPr>
            </w:pPr>
            <w:r w:rsidRPr="00187642">
              <w:rPr>
                <w:rFonts w:ascii="Times New Roman" w:hAnsi="Times New Roman" w:cs="Times New Roman"/>
                <w:b/>
                <w:bCs/>
              </w:rPr>
              <w:t>La corrente elettrica continua</w:t>
            </w:r>
          </w:p>
        </w:tc>
        <w:tc>
          <w:tcPr>
            <w:tcW w:w="5067" w:type="dxa"/>
          </w:tcPr>
          <w:p w14:paraId="53E016CA" w14:textId="625B9103" w:rsidR="006870AF" w:rsidRPr="00187642" w:rsidRDefault="006870AF" w:rsidP="006870AF">
            <w:pPr>
              <w:rPr>
                <w:rFonts w:ascii="Times New Roman" w:hAnsi="Times New Roman" w:cs="Times New Roman"/>
              </w:rPr>
            </w:pPr>
            <w:r w:rsidRPr="00187642">
              <w:rPr>
                <w:rFonts w:ascii="Times New Roman" w:hAnsi="Times New Roman" w:cs="Times New Roman"/>
              </w:rPr>
              <w:t>L’intensità della corrente elettrica.</w:t>
            </w:r>
            <w:r w:rsidR="00A1530F">
              <w:rPr>
                <w:rFonts w:ascii="Times New Roman" w:hAnsi="Times New Roman" w:cs="Times New Roman"/>
              </w:rPr>
              <w:t xml:space="preserve">                      </w:t>
            </w:r>
            <w:r w:rsidRPr="00187642">
              <w:rPr>
                <w:rFonts w:ascii="Times New Roman" w:hAnsi="Times New Roman" w:cs="Times New Roman"/>
              </w:rPr>
              <w:t xml:space="preserve"> I generatori di tensione e i circuiti elettrici. </w:t>
            </w:r>
            <w:r w:rsidR="00A1530F">
              <w:rPr>
                <w:rFonts w:ascii="Times New Roman" w:hAnsi="Times New Roman" w:cs="Times New Roman"/>
              </w:rPr>
              <w:t xml:space="preserve">                  </w:t>
            </w:r>
            <w:r w:rsidRPr="00187642">
              <w:rPr>
                <w:rFonts w:ascii="Times New Roman" w:hAnsi="Times New Roman" w:cs="Times New Roman"/>
              </w:rPr>
              <w:t xml:space="preserve">La prima legge di Ohm. I resistori in serie e in parallelo. Le leggi di </w:t>
            </w:r>
            <w:proofErr w:type="spellStart"/>
            <w:r w:rsidRPr="00187642">
              <w:rPr>
                <w:rFonts w:ascii="Times New Roman" w:hAnsi="Times New Roman" w:cs="Times New Roman"/>
              </w:rPr>
              <w:t>Kirchoff</w:t>
            </w:r>
            <w:proofErr w:type="spellEnd"/>
            <w:r w:rsidRPr="00187642">
              <w:rPr>
                <w:rFonts w:ascii="Times New Roman" w:hAnsi="Times New Roman" w:cs="Times New Roman"/>
              </w:rPr>
              <w:t>.</w:t>
            </w:r>
            <w:r w:rsidR="00A1530F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Pr="00187642">
              <w:rPr>
                <w:rFonts w:ascii="Times New Roman" w:hAnsi="Times New Roman" w:cs="Times New Roman"/>
              </w:rPr>
              <w:t xml:space="preserve"> </w:t>
            </w:r>
            <w:r w:rsidR="00A1530F">
              <w:rPr>
                <w:rFonts w:ascii="Times New Roman" w:hAnsi="Times New Roman" w:cs="Times New Roman"/>
              </w:rPr>
              <w:t>Risoluzione di circuiti in corrente continua</w:t>
            </w:r>
            <w:r w:rsidRPr="00187642">
              <w:rPr>
                <w:rFonts w:ascii="Times New Roman" w:hAnsi="Times New Roman" w:cs="Times New Roman"/>
              </w:rPr>
              <w:t>.</w:t>
            </w:r>
          </w:p>
        </w:tc>
      </w:tr>
    </w:tbl>
    <w:p w14:paraId="397CD18B" w14:textId="77777777" w:rsidR="003E501D" w:rsidRPr="00C40798" w:rsidRDefault="003E501D" w:rsidP="003E501D">
      <w:pPr>
        <w:jc w:val="both"/>
        <w:rPr>
          <w:rFonts w:ascii="Times New Roman" w:hAnsi="Times New Roman" w:cs="Times New Roman"/>
        </w:rPr>
      </w:pPr>
    </w:p>
    <w:p w14:paraId="047F9DF6" w14:textId="4B759DDF" w:rsidR="00756785" w:rsidRPr="00C40798" w:rsidRDefault="00756785" w:rsidP="003E501D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</w:pPr>
      <w:r w:rsidRPr="00C4079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        </w:t>
      </w:r>
      <w:r w:rsidR="00F4449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                  </w:t>
      </w:r>
      <w:r w:rsidR="003E501D" w:rsidRPr="00C4079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                                                                            </w:t>
      </w:r>
      <w:r w:rsidRPr="00C4079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L’insegnante</w:t>
      </w:r>
    </w:p>
    <w:p w14:paraId="2EDB9F64" w14:textId="77777777" w:rsidR="003E501D" w:rsidRPr="00C40798" w:rsidRDefault="00756785" w:rsidP="003E501D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 w:cs="Times New Roman"/>
          <w:bCs/>
          <w:sz w:val="24"/>
          <w:szCs w:val="24"/>
        </w:rPr>
      </w:pPr>
      <w:r w:rsidRPr="00C4079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                                                                                             </w:t>
      </w:r>
      <w:r w:rsidR="003E501D" w:rsidRPr="00C4079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   Prof.ssa   </w:t>
      </w:r>
      <w:r w:rsidR="003E501D" w:rsidRPr="00C40798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</w:rPr>
        <w:t>Stefania Gizzi</w:t>
      </w:r>
    </w:p>
    <w:p w14:paraId="3A7E7B92" w14:textId="55847437" w:rsidR="00DD1E1B" w:rsidRDefault="00DD1E1B" w:rsidP="00DD1E1B">
      <w:pPr>
        <w:tabs>
          <w:tab w:val="left" w:pos="9060"/>
        </w:tabs>
        <w:rPr>
          <w:rFonts w:ascii="Times New Roman" w:hAnsi="Times New Roman" w:cs="Times New Roman"/>
        </w:rPr>
      </w:pPr>
    </w:p>
    <w:p w14:paraId="556B51B3" w14:textId="112A1333" w:rsidR="006870AF" w:rsidRDefault="006870AF" w:rsidP="00DD1E1B">
      <w:pPr>
        <w:tabs>
          <w:tab w:val="left" w:pos="9060"/>
        </w:tabs>
        <w:rPr>
          <w:rFonts w:ascii="Times New Roman" w:hAnsi="Times New Roman" w:cs="Times New Roman"/>
        </w:rPr>
      </w:pPr>
    </w:p>
    <w:p w14:paraId="162F56D5" w14:textId="3122F1E9" w:rsidR="006870AF" w:rsidRDefault="006870AF" w:rsidP="00DD1E1B">
      <w:pPr>
        <w:tabs>
          <w:tab w:val="left" w:pos="9060"/>
        </w:tabs>
        <w:rPr>
          <w:rFonts w:ascii="Times New Roman" w:hAnsi="Times New Roman" w:cs="Times New Roman"/>
        </w:rPr>
      </w:pPr>
    </w:p>
    <w:p w14:paraId="24A74AE4" w14:textId="77777777" w:rsidR="006870AF" w:rsidRDefault="006870AF" w:rsidP="00DD1E1B">
      <w:pPr>
        <w:tabs>
          <w:tab w:val="left" w:pos="9060"/>
        </w:tabs>
        <w:rPr>
          <w:rFonts w:ascii="Times New Roman" w:hAnsi="Times New Roman" w:cs="Times New Roman"/>
        </w:rPr>
      </w:pPr>
    </w:p>
    <w:sectPr w:rsidR="006870AF" w:rsidSect="00DB33CE">
      <w:pgSz w:w="11906" w:h="16838"/>
      <w:pgMar w:top="709" w:right="993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86762" w14:textId="77777777" w:rsidR="00D1599B" w:rsidRDefault="00D1599B" w:rsidP="00DB33CE">
      <w:pPr>
        <w:spacing w:after="0" w:line="240" w:lineRule="auto"/>
      </w:pPr>
      <w:r>
        <w:separator/>
      </w:r>
    </w:p>
  </w:endnote>
  <w:endnote w:type="continuationSeparator" w:id="0">
    <w:p w14:paraId="02662698" w14:textId="77777777" w:rsidR="00D1599B" w:rsidRDefault="00D1599B" w:rsidP="00DB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8CDC8" w14:textId="77777777" w:rsidR="00D1599B" w:rsidRDefault="00D1599B" w:rsidP="00DB33CE">
      <w:pPr>
        <w:spacing w:after="0" w:line="240" w:lineRule="auto"/>
      </w:pPr>
      <w:r>
        <w:separator/>
      </w:r>
    </w:p>
  </w:footnote>
  <w:footnote w:type="continuationSeparator" w:id="0">
    <w:p w14:paraId="58B886A5" w14:textId="77777777" w:rsidR="00D1599B" w:rsidRDefault="00D1599B" w:rsidP="00DB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D01E5"/>
    <w:multiLevelType w:val="multilevel"/>
    <w:tmpl w:val="D3AAC0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</w:abstractNum>
  <w:abstractNum w:abstractNumId="1" w15:restartNumberingAfterBreak="0">
    <w:nsid w:val="1F2E65F7"/>
    <w:multiLevelType w:val="hybridMultilevel"/>
    <w:tmpl w:val="266086BE"/>
    <w:lvl w:ilvl="0" w:tplc="CB262F3E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0B062B"/>
    <w:multiLevelType w:val="multilevel"/>
    <w:tmpl w:val="B47EFD0A"/>
    <w:styleLink w:val="List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0965866"/>
    <w:multiLevelType w:val="multilevel"/>
    <w:tmpl w:val="0AF4A7AA"/>
    <w:styleLink w:val="List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</w:abstractNum>
  <w:abstractNum w:abstractNumId="4" w15:restartNumberingAfterBreak="0">
    <w:nsid w:val="297349C4"/>
    <w:multiLevelType w:val="multilevel"/>
    <w:tmpl w:val="713A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B7156DC"/>
    <w:multiLevelType w:val="multilevel"/>
    <w:tmpl w:val="008EBB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</w:abstractNum>
  <w:abstractNum w:abstractNumId="6" w15:restartNumberingAfterBreak="0">
    <w:nsid w:val="30AE4D41"/>
    <w:multiLevelType w:val="hybridMultilevel"/>
    <w:tmpl w:val="6A6892F2"/>
    <w:lvl w:ilvl="0" w:tplc="CB262F3E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116160"/>
    <w:multiLevelType w:val="multilevel"/>
    <w:tmpl w:val="F6108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</w:abstractNum>
  <w:abstractNum w:abstractNumId="8" w15:restartNumberingAfterBreak="0">
    <w:nsid w:val="41A34BDD"/>
    <w:multiLevelType w:val="multilevel"/>
    <w:tmpl w:val="556437DA"/>
    <w:styleLink w:val="List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</w:abstractNum>
  <w:abstractNum w:abstractNumId="9" w15:restartNumberingAfterBreak="0">
    <w:nsid w:val="426269D1"/>
    <w:multiLevelType w:val="multilevel"/>
    <w:tmpl w:val="AEC6646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</w:abstractNum>
  <w:abstractNum w:abstractNumId="10" w15:restartNumberingAfterBreak="0">
    <w:nsid w:val="52C46A5F"/>
    <w:multiLevelType w:val="multilevel"/>
    <w:tmpl w:val="031A5342"/>
    <w:styleLink w:val="List4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</w:abstractNum>
  <w:abstractNum w:abstractNumId="11" w15:restartNumberingAfterBreak="0">
    <w:nsid w:val="588F38AC"/>
    <w:multiLevelType w:val="hybridMultilevel"/>
    <w:tmpl w:val="6FB6FA3C"/>
    <w:lvl w:ilvl="0" w:tplc="CB262F3E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4513329"/>
    <w:multiLevelType w:val="multilevel"/>
    <w:tmpl w:val="E892E8D8"/>
    <w:styleLink w:val="List5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</w:abstractNum>
  <w:abstractNum w:abstractNumId="13" w15:restartNumberingAfterBreak="0">
    <w:nsid w:val="650947CD"/>
    <w:multiLevelType w:val="multilevel"/>
    <w:tmpl w:val="93641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</w:abstractNum>
  <w:abstractNum w:abstractNumId="14" w15:restartNumberingAfterBreak="0">
    <w:nsid w:val="65A779D1"/>
    <w:multiLevelType w:val="multilevel"/>
    <w:tmpl w:val="0D34BF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</w:abstractNum>
  <w:abstractNum w:abstractNumId="15" w15:restartNumberingAfterBreak="0">
    <w:nsid w:val="65BE7922"/>
    <w:multiLevelType w:val="multilevel"/>
    <w:tmpl w:val="A2320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</w:abstractNum>
  <w:abstractNum w:abstractNumId="16" w15:restartNumberingAfterBreak="0">
    <w:nsid w:val="716208A4"/>
    <w:multiLevelType w:val="multilevel"/>
    <w:tmpl w:val="6E9E1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</w:abstractNum>
  <w:abstractNum w:abstractNumId="17" w15:restartNumberingAfterBreak="0">
    <w:nsid w:val="76DF2985"/>
    <w:multiLevelType w:val="hybridMultilevel"/>
    <w:tmpl w:val="FF6431FC"/>
    <w:lvl w:ilvl="0" w:tplc="CB262F3E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7"/>
  </w:num>
  <w:num w:numId="5">
    <w:abstractNumId w:val="4"/>
  </w:num>
  <w:num w:numId="6">
    <w:abstractNumId w:val="2"/>
  </w:num>
  <w:num w:numId="7">
    <w:abstractNumId w:val="16"/>
  </w:num>
  <w:num w:numId="8">
    <w:abstractNumId w:val="7"/>
  </w:num>
  <w:num w:numId="9">
    <w:abstractNumId w:val="10"/>
  </w:num>
  <w:num w:numId="10">
    <w:abstractNumId w:val="8"/>
  </w:num>
  <w:num w:numId="11">
    <w:abstractNumId w:val="13"/>
  </w:num>
  <w:num w:numId="12">
    <w:abstractNumId w:val="5"/>
  </w:num>
  <w:num w:numId="13">
    <w:abstractNumId w:val="15"/>
  </w:num>
  <w:num w:numId="14">
    <w:abstractNumId w:val="14"/>
  </w:num>
  <w:num w:numId="15">
    <w:abstractNumId w:val="0"/>
  </w:num>
  <w:num w:numId="16">
    <w:abstractNumId w:val="9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8E"/>
    <w:rsid w:val="0001240B"/>
    <w:rsid w:val="00012783"/>
    <w:rsid w:val="00071E7B"/>
    <w:rsid w:val="00083DF5"/>
    <w:rsid w:val="00096E79"/>
    <w:rsid w:val="000E0D41"/>
    <w:rsid w:val="00105433"/>
    <w:rsid w:val="00106CE1"/>
    <w:rsid w:val="00116607"/>
    <w:rsid w:val="001443E4"/>
    <w:rsid w:val="00147C34"/>
    <w:rsid w:val="00187642"/>
    <w:rsid w:val="00190E21"/>
    <w:rsid w:val="001B1A37"/>
    <w:rsid w:val="001B5A79"/>
    <w:rsid w:val="00221692"/>
    <w:rsid w:val="00224C85"/>
    <w:rsid w:val="0023076C"/>
    <w:rsid w:val="00270064"/>
    <w:rsid w:val="00276ADD"/>
    <w:rsid w:val="00295894"/>
    <w:rsid w:val="002C291D"/>
    <w:rsid w:val="00304717"/>
    <w:rsid w:val="00315C31"/>
    <w:rsid w:val="0031737D"/>
    <w:rsid w:val="00336EED"/>
    <w:rsid w:val="00340A8B"/>
    <w:rsid w:val="00370FC2"/>
    <w:rsid w:val="003D3FA5"/>
    <w:rsid w:val="003D6BF2"/>
    <w:rsid w:val="003E501D"/>
    <w:rsid w:val="00431648"/>
    <w:rsid w:val="00440865"/>
    <w:rsid w:val="004550EB"/>
    <w:rsid w:val="004E1DBC"/>
    <w:rsid w:val="004F78DE"/>
    <w:rsid w:val="00501F6A"/>
    <w:rsid w:val="00524FC8"/>
    <w:rsid w:val="00534EEC"/>
    <w:rsid w:val="00577147"/>
    <w:rsid w:val="005B34F8"/>
    <w:rsid w:val="005F2A71"/>
    <w:rsid w:val="006433C3"/>
    <w:rsid w:val="00647EA4"/>
    <w:rsid w:val="00654664"/>
    <w:rsid w:val="006854D6"/>
    <w:rsid w:val="006870AF"/>
    <w:rsid w:val="0072314C"/>
    <w:rsid w:val="00733968"/>
    <w:rsid w:val="00755E5A"/>
    <w:rsid w:val="00756785"/>
    <w:rsid w:val="007C29AA"/>
    <w:rsid w:val="007E268E"/>
    <w:rsid w:val="007F1018"/>
    <w:rsid w:val="008C3667"/>
    <w:rsid w:val="0096623E"/>
    <w:rsid w:val="00985DF9"/>
    <w:rsid w:val="009A13A3"/>
    <w:rsid w:val="009A3D4A"/>
    <w:rsid w:val="009D00F5"/>
    <w:rsid w:val="00A1530F"/>
    <w:rsid w:val="00A717EC"/>
    <w:rsid w:val="00AD5F0A"/>
    <w:rsid w:val="00B122DA"/>
    <w:rsid w:val="00B94658"/>
    <w:rsid w:val="00BC13A3"/>
    <w:rsid w:val="00C07F53"/>
    <w:rsid w:val="00C361DA"/>
    <w:rsid w:val="00C40798"/>
    <w:rsid w:val="00C4118E"/>
    <w:rsid w:val="00C459F6"/>
    <w:rsid w:val="00C50C40"/>
    <w:rsid w:val="00C5131E"/>
    <w:rsid w:val="00C6226B"/>
    <w:rsid w:val="00C6653B"/>
    <w:rsid w:val="00C8362E"/>
    <w:rsid w:val="00C95ADD"/>
    <w:rsid w:val="00D008CE"/>
    <w:rsid w:val="00D1599B"/>
    <w:rsid w:val="00D913CB"/>
    <w:rsid w:val="00DB0DD4"/>
    <w:rsid w:val="00DB33CE"/>
    <w:rsid w:val="00DC73AB"/>
    <w:rsid w:val="00DD1E1B"/>
    <w:rsid w:val="00DD6D32"/>
    <w:rsid w:val="00E0003F"/>
    <w:rsid w:val="00E3671F"/>
    <w:rsid w:val="00E44F84"/>
    <w:rsid w:val="00E94BF3"/>
    <w:rsid w:val="00EF3C95"/>
    <w:rsid w:val="00F44494"/>
    <w:rsid w:val="00F47875"/>
    <w:rsid w:val="00F730D9"/>
    <w:rsid w:val="00F872DF"/>
    <w:rsid w:val="00FB098A"/>
    <w:rsid w:val="00FC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3F3F"/>
  <w15:docId w15:val="{52ECCBFD-9836-4EC0-ADEA-88E8383A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E50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4F8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B3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3CE"/>
  </w:style>
  <w:style w:type="paragraph" w:styleId="Pidipagina">
    <w:name w:val="footer"/>
    <w:basedOn w:val="Normale"/>
    <w:link w:val="PidipaginaCarattere"/>
    <w:uiPriority w:val="99"/>
    <w:unhideWhenUsed/>
    <w:rsid w:val="00DB3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3CE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44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443E4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E501D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customStyle="1" w:styleId="Predefinito">
    <w:name w:val="Predefinito"/>
    <w:rsid w:val="003E501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Didefault">
    <w:name w:val="Di default"/>
    <w:rsid w:val="003E50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E501D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E501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numbering" w:customStyle="1" w:styleId="List30">
    <w:name w:val="List 30"/>
    <w:basedOn w:val="Nessunelenco"/>
    <w:rsid w:val="00116607"/>
    <w:pPr>
      <w:numPr>
        <w:numId w:val="6"/>
      </w:numPr>
    </w:pPr>
  </w:style>
  <w:style w:type="numbering" w:customStyle="1" w:styleId="List48">
    <w:name w:val="List 48"/>
    <w:basedOn w:val="Nessunelenco"/>
    <w:rsid w:val="00083DF5"/>
    <w:pPr>
      <w:numPr>
        <w:numId w:val="10"/>
      </w:numPr>
    </w:pPr>
  </w:style>
  <w:style w:type="numbering" w:customStyle="1" w:styleId="List49">
    <w:name w:val="List 49"/>
    <w:basedOn w:val="Nessunelenco"/>
    <w:rsid w:val="00083DF5"/>
    <w:pPr>
      <w:numPr>
        <w:numId w:val="9"/>
      </w:numPr>
    </w:pPr>
  </w:style>
  <w:style w:type="numbering" w:customStyle="1" w:styleId="List50">
    <w:name w:val="List 50"/>
    <w:basedOn w:val="Nessunelenco"/>
    <w:rsid w:val="00083DF5"/>
    <w:pPr>
      <w:numPr>
        <w:numId w:val="17"/>
      </w:numPr>
    </w:pPr>
  </w:style>
  <w:style w:type="numbering" w:customStyle="1" w:styleId="List51">
    <w:name w:val="List 51"/>
    <w:basedOn w:val="Nessunelenco"/>
    <w:rsid w:val="00083DF5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Stefania Gizzi</cp:lastModifiedBy>
  <cp:revision>2</cp:revision>
  <cp:lastPrinted>2019-04-08T19:59:00Z</cp:lastPrinted>
  <dcterms:created xsi:type="dcterms:W3CDTF">2020-06-01T06:43:00Z</dcterms:created>
  <dcterms:modified xsi:type="dcterms:W3CDTF">2020-06-01T06:43:00Z</dcterms:modified>
</cp:coreProperties>
</file>