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CE3C" w14:textId="77777777" w:rsidR="001443E4" w:rsidRDefault="001443E4" w:rsidP="007F1018">
      <w:pPr>
        <w:jc w:val="center"/>
        <w:rPr>
          <w:b/>
        </w:rPr>
      </w:pPr>
    </w:p>
    <w:p w14:paraId="7E559249" w14:textId="0DB07B76" w:rsidR="003E501D" w:rsidRPr="003E501D" w:rsidRDefault="003E501D" w:rsidP="003E501D">
      <w:pPr>
        <w:pStyle w:val="Titolo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LICEO SCIENTIFICO </w:t>
      </w:r>
      <w:proofErr w:type="gramStart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STATALE  “</w:t>
      </w:r>
      <w:proofErr w:type="gramEnd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TALETE”                                                                       </w:t>
      </w:r>
      <w:proofErr w:type="spellStart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a.s.</w:t>
      </w:r>
      <w:proofErr w:type="spellEnd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6318A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/ 20</w:t>
      </w:r>
      <w:r w:rsidR="006318A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14:paraId="33D9E717" w14:textId="77777777" w:rsidR="003E501D" w:rsidRPr="003E501D" w:rsidRDefault="003E501D" w:rsidP="003E501D">
      <w:pPr>
        <w:rPr>
          <w:rFonts w:ascii="Times New Roman" w:hAnsi="Times New Roman" w:cs="Times New Roman"/>
          <w:lang w:eastAsia="it-IT"/>
        </w:rPr>
      </w:pPr>
    </w:p>
    <w:p w14:paraId="49833ED6" w14:textId="77777777" w:rsidR="003E501D" w:rsidRPr="003E501D" w:rsidRDefault="003E501D" w:rsidP="003E501D">
      <w:pPr>
        <w:rPr>
          <w:rFonts w:ascii="Times New Roman" w:hAnsi="Times New Roman" w:cs="Times New Roman"/>
          <w:b/>
          <w:sz w:val="28"/>
          <w:szCs w:val="28"/>
        </w:rPr>
      </w:pPr>
      <w:r w:rsidRPr="003E50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Programma</w:t>
      </w:r>
      <w:r w:rsidRPr="003E5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501D">
        <w:rPr>
          <w:rFonts w:ascii="Times New Roman" w:hAnsi="Times New Roman" w:cs="Times New Roman"/>
          <w:b/>
          <w:sz w:val="28"/>
          <w:szCs w:val="28"/>
        </w:rPr>
        <w:t>Fisica  Classe</w:t>
      </w:r>
      <w:proofErr w:type="gramEnd"/>
      <w:r w:rsidRPr="003E501D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Pr="003E501D">
        <w:rPr>
          <w:rFonts w:ascii="Times New Roman" w:hAnsi="Times New Roman" w:cs="Times New Roman"/>
          <w:b/>
          <w:sz w:val="28"/>
          <w:szCs w:val="28"/>
        </w:rPr>
        <w:t xml:space="preserve">E                                </w:t>
      </w:r>
    </w:p>
    <w:p w14:paraId="4B0E7DA5" w14:textId="55267B93" w:rsidR="00431648" w:rsidRDefault="003E501D" w:rsidP="003E501D">
      <w:pPr>
        <w:rPr>
          <w:rFonts w:ascii="Times New Roman" w:hAnsi="Times New Roman" w:cs="Times New Roman"/>
          <w:b/>
          <w:sz w:val="28"/>
          <w:szCs w:val="28"/>
        </w:rPr>
      </w:pPr>
      <w:r w:rsidRPr="003E50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Docente </w:t>
      </w:r>
      <w:proofErr w:type="gramStart"/>
      <w:r w:rsidRPr="003E501D">
        <w:rPr>
          <w:rFonts w:ascii="Times New Roman" w:hAnsi="Times New Roman" w:cs="Times New Roman"/>
          <w:b/>
          <w:sz w:val="28"/>
          <w:szCs w:val="28"/>
        </w:rPr>
        <w:t>Prof.ssa  Stefania</w:t>
      </w:r>
      <w:proofErr w:type="gramEnd"/>
      <w:r w:rsidRPr="003E501D">
        <w:rPr>
          <w:rFonts w:ascii="Times New Roman" w:hAnsi="Times New Roman" w:cs="Times New Roman"/>
          <w:b/>
          <w:sz w:val="28"/>
          <w:szCs w:val="28"/>
        </w:rPr>
        <w:t xml:space="preserve"> Gizz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14:paraId="05F6FDFC" w14:textId="47E189C9" w:rsidR="00431648" w:rsidRPr="007E0E87" w:rsidRDefault="007E0E87" w:rsidP="007E0E87">
      <w:pPr>
        <w:jc w:val="both"/>
        <w:rPr>
          <w:rFonts w:ascii="Times New Roman" w:hAnsi="Times New Roman" w:cs="Times New Roman"/>
        </w:rPr>
      </w:pPr>
      <w:r w:rsidRPr="007E0E87">
        <w:rPr>
          <w:rFonts w:ascii="Times New Roman" w:hAnsi="Times New Roman" w:cs="Times New Roman"/>
        </w:rPr>
        <w:t xml:space="preserve">Gli obiettivi formativi indicati nella programmazione di inizio anno scolastico sono stati complessivamente raggiunti anche se con capacità di </w:t>
      </w:r>
      <w:proofErr w:type="gramStart"/>
      <w:r w:rsidRPr="007E0E87">
        <w:rPr>
          <w:rFonts w:ascii="Times New Roman" w:hAnsi="Times New Roman" w:cs="Times New Roman"/>
        </w:rPr>
        <w:t>contestualizzazione  adeguat</w:t>
      </w:r>
      <w:r w:rsidR="003E4D9A">
        <w:rPr>
          <w:rFonts w:ascii="Times New Roman" w:hAnsi="Times New Roman" w:cs="Times New Roman"/>
        </w:rPr>
        <w:t>e</w:t>
      </w:r>
      <w:proofErr w:type="gramEnd"/>
      <w:r w:rsidR="003E4D9A">
        <w:rPr>
          <w:rFonts w:ascii="Times New Roman" w:hAnsi="Times New Roman" w:cs="Times New Roman"/>
        </w:rPr>
        <w:t xml:space="preserve"> </w:t>
      </w:r>
      <w:r w:rsidRPr="007E0E87">
        <w:rPr>
          <w:rFonts w:ascii="Times New Roman" w:hAnsi="Times New Roman" w:cs="Times New Roman"/>
        </w:rPr>
        <w:t>al raggiungimento degli obiettivi minimi</w:t>
      </w:r>
      <w:r>
        <w:rPr>
          <w:rFonts w:ascii="Times New Roman" w:hAnsi="Times New Roman" w:cs="Times New Roman"/>
        </w:rPr>
        <w:t xml:space="preserve"> soprattutto per gli argomenti svolti durante il periodo di DAD</w:t>
      </w:r>
      <w:r w:rsidRPr="007E0E87">
        <w:rPr>
          <w:rFonts w:ascii="Times New Roman" w:hAnsi="Times New Roman" w:cs="Times New Roman"/>
        </w:rPr>
        <w:t>.</w:t>
      </w:r>
    </w:p>
    <w:tbl>
      <w:tblPr>
        <w:tblW w:w="9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914"/>
        <w:gridCol w:w="5386"/>
      </w:tblGrid>
      <w:tr w:rsidR="003E501D" w:rsidRPr="005C2013" w14:paraId="05BD7BC2" w14:textId="77777777" w:rsidTr="003E501D">
        <w:trPr>
          <w:trHeight w:val="22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5442" w14:textId="77777777" w:rsidR="003E501D" w:rsidRDefault="003E501D" w:rsidP="009E7D49">
            <w:pPr>
              <w:pStyle w:val="Predefinito"/>
              <w:jc w:val="both"/>
            </w:pPr>
            <w:r w:rsidRPr="005C2013">
              <w:rPr>
                <w:rFonts w:ascii="Times New Roman Bold"/>
                <w:sz w:val="20"/>
                <w:szCs w:val="20"/>
              </w:rPr>
              <w:t>MODULO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4C28" w14:textId="77777777" w:rsidR="003E501D" w:rsidRDefault="003E501D" w:rsidP="009E7D49">
            <w:pPr>
              <w:pStyle w:val="Predefinito"/>
            </w:pPr>
            <w:r w:rsidRPr="005C2013">
              <w:rPr>
                <w:rFonts w:ascii="Times New Roman Bold"/>
                <w:sz w:val="20"/>
                <w:szCs w:val="20"/>
              </w:rPr>
              <w:t>Unit</w:t>
            </w:r>
            <w:r w:rsidRPr="005C2013">
              <w:rPr>
                <w:rFonts w:hAnsi="Times New Roman Bold"/>
                <w:sz w:val="20"/>
                <w:szCs w:val="20"/>
              </w:rPr>
              <w:t>à</w:t>
            </w:r>
            <w:r w:rsidRPr="005C2013">
              <w:rPr>
                <w:rFonts w:hAnsi="Times New Roman Bold"/>
                <w:sz w:val="20"/>
                <w:szCs w:val="20"/>
              </w:rPr>
              <w:t xml:space="preserve"> </w:t>
            </w:r>
            <w:r w:rsidRPr="005C2013">
              <w:rPr>
                <w:rFonts w:ascii="Times New Roman Bold"/>
                <w:sz w:val="20"/>
                <w:szCs w:val="20"/>
              </w:rPr>
              <w:t>Didattica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6ED3" w14:textId="77777777" w:rsidR="003E501D" w:rsidRDefault="003E501D" w:rsidP="009E7D49">
            <w:pPr>
              <w:pStyle w:val="Predefinito"/>
              <w:jc w:val="both"/>
            </w:pPr>
            <w:r w:rsidRPr="005C2013">
              <w:rPr>
                <w:rFonts w:ascii="Times New Roman Bold"/>
                <w:sz w:val="20"/>
                <w:szCs w:val="20"/>
              </w:rPr>
              <w:t>Obiettivi relativi al sapere</w:t>
            </w:r>
          </w:p>
        </w:tc>
      </w:tr>
      <w:tr w:rsidR="003E501D" w14:paraId="33C06F87" w14:textId="77777777" w:rsidTr="00534EEC">
        <w:trPr>
          <w:trHeight w:val="145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728E" w14:textId="77777777" w:rsidR="003E501D" w:rsidRPr="005C2013" w:rsidRDefault="003E501D" w:rsidP="009E7D49">
            <w:pPr>
              <w:pStyle w:val="Predefinito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56D48A73" w14:textId="77777777" w:rsidR="003E501D" w:rsidRPr="005C2013" w:rsidRDefault="003E501D" w:rsidP="009E7D49">
            <w:pPr>
              <w:pStyle w:val="Predefinito"/>
              <w:jc w:val="center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Modulo 1:</w:t>
            </w:r>
          </w:p>
          <w:p w14:paraId="32D047F4" w14:textId="77777777" w:rsidR="003E501D" w:rsidRPr="005C2013" w:rsidRDefault="003E501D" w:rsidP="009E7D49">
            <w:pPr>
              <w:pStyle w:val="Predefinito"/>
              <w:jc w:val="center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il linguaggio della fisica classica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1DE0" w14:textId="77777777" w:rsidR="003E501D" w:rsidRPr="002C16D8" w:rsidRDefault="00D008CE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1</w:t>
            </w:r>
            <w:r w:rsidR="003E501D" w:rsidRPr="002C16D8">
              <w:rPr>
                <w:sz w:val="20"/>
                <w:szCs w:val="20"/>
              </w:rPr>
              <w:t>. Relazioni, funzioni, modelli</w:t>
            </w:r>
          </w:p>
          <w:p w14:paraId="71380A17" w14:textId="77777777" w:rsidR="003E501D" w:rsidRPr="002C16D8" w:rsidRDefault="003E501D" w:rsidP="009E7D49">
            <w:pPr>
              <w:pStyle w:val="Rientrocorpodeltesto"/>
              <w:spacing w:before="120"/>
              <w:rPr>
                <w:sz w:val="20"/>
              </w:rPr>
            </w:pPr>
          </w:p>
          <w:p w14:paraId="0DE80DF8" w14:textId="77777777" w:rsidR="003E501D" w:rsidRPr="002C16D8" w:rsidRDefault="003E501D" w:rsidP="003E501D">
            <w:pPr>
              <w:pStyle w:val="Rientrocorpodeltesto"/>
              <w:spacing w:before="120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8F14" w14:textId="77777777" w:rsidR="003E501D" w:rsidRPr="002C16D8" w:rsidRDefault="003E501D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Rapporti, proporzioni, percentuali.</w:t>
            </w:r>
          </w:p>
          <w:p w14:paraId="51B9BDA5" w14:textId="77777777" w:rsidR="003E501D" w:rsidRPr="002C16D8" w:rsidRDefault="003E501D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Grafici: proporzionalit</w:t>
            </w:r>
            <w:r w:rsidRPr="002C16D8">
              <w:rPr>
                <w:sz w:val="20"/>
                <w:szCs w:val="20"/>
              </w:rPr>
              <w:t>à</w:t>
            </w:r>
            <w:r w:rsidRPr="002C16D8">
              <w:rPr>
                <w:sz w:val="20"/>
                <w:szCs w:val="20"/>
              </w:rPr>
              <w:t xml:space="preserve"> diretta, inversa e quadratica.</w:t>
            </w:r>
          </w:p>
          <w:p w14:paraId="5DAD3270" w14:textId="77777777" w:rsidR="003E501D" w:rsidRPr="002C16D8" w:rsidRDefault="003E501D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Lettura di una formula ed interpretazione di un grafico.</w:t>
            </w:r>
          </w:p>
          <w:p w14:paraId="5874E82D" w14:textId="77777777" w:rsidR="003E501D" w:rsidRPr="002C16D8" w:rsidRDefault="003E501D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Notazione esponenzia</w:t>
            </w:r>
            <w:r w:rsidR="00D008CE" w:rsidRPr="002C16D8">
              <w:rPr>
                <w:sz w:val="20"/>
                <w:szCs w:val="20"/>
              </w:rPr>
              <w:t>le di un numero.</w:t>
            </w:r>
          </w:p>
          <w:p w14:paraId="17FBD8FF" w14:textId="77777777" w:rsidR="00D008CE" w:rsidRPr="002C16D8" w:rsidRDefault="00D008CE" w:rsidP="003E501D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Seno e coseno di un angolo.</w:t>
            </w:r>
          </w:p>
        </w:tc>
      </w:tr>
      <w:tr w:rsidR="003E501D" w:rsidRPr="005C2013" w14:paraId="2677F5E5" w14:textId="77777777" w:rsidTr="00534EEC">
        <w:trPr>
          <w:trHeight w:val="1391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4D0E" w14:textId="77777777" w:rsidR="003E501D" w:rsidRDefault="003E501D" w:rsidP="009E7D4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0912" w14:textId="77777777" w:rsidR="003E501D" w:rsidRPr="002C16D8" w:rsidRDefault="003E501D" w:rsidP="009E7D49">
            <w:pPr>
              <w:pStyle w:val="Predefinito"/>
              <w:rPr>
                <w:sz w:val="20"/>
                <w:szCs w:val="20"/>
              </w:rPr>
            </w:pPr>
          </w:p>
          <w:p w14:paraId="2DD8E277" w14:textId="77777777" w:rsidR="003E501D" w:rsidRPr="002C16D8" w:rsidRDefault="003E501D" w:rsidP="00D008CE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2. Calcoli approssimati, grandezze fisiche, misure ed errori, cambiamenti di scala</w:t>
            </w:r>
          </w:p>
          <w:p w14:paraId="7474AA6C" w14:textId="77777777" w:rsidR="003E501D" w:rsidRPr="002C16D8" w:rsidRDefault="003E501D" w:rsidP="009E7D49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DE1B" w14:textId="77777777" w:rsidR="00D008CE" w:rsidRPr="002C16D8" w:rsidRDefault="003E501D" w:rsidP="009E7D49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Grandezze, grandezze omogenee e non omogenee, grandezze dimensionali. Notazione scientifica, ordine di grandezza.</w:t>
            </w:r>
          </w:p>
          <w:p w14:paraId="2DE788CD" w14:textId="77777777" w:rsidR="003E501D" w:rsidRPr="002C16D8" w:rsidRDefault="003E501D" w:rsidP="009E7D49">
            <w:pPr>
              <w:pStyle w:val="Predefinito"/>
              <w:rPr>
                <w:sz w:val="20"/>
                <w:szCs w:val="20"/>
              </w:rPr>
            </w:pPr>
            <w:r w:rsidRPr="002C16D8">
              <w:rPr>
                <w:sz w:val="20"/>
                <w:szCs w:val="20"/>
              </w:rPr>
              <w:t>Aspetti fondamentali degli strumenti di misura.  Misure di una grandezza. Stime e incertezza di una misura. Cifre significative. Come si scrive il risultato di una misura. Errore assoluto e relativo e percentuale</w:t>
            </w:r>
            <w:r w:rsidR="00D008CE" w:rsidRPr="002C16D8">
              <w:rPr>
                <w:sz w:val="20"/>
                <w:szCs w:val="20"/>
              </w:rPr>
              <w:t>.</w:t>
            </w:r>
          </w:p>
        </w:tc>
      </w:tr>
      <w:tr w:rsidR="00534EEC" w:rsidRPr="005C2013" w14:paraId="4D1D625C" w14:textId="77777777" w:rsidTr="00534EEC">
        <w:trPr>
          <w:trHeight w:val="13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085D" w14:textId="77777777" w:rsidR="00534EEC" w:rsidRPr="005C2013" w:rsidRDefault="00534EEC" w:rsidP="00534EEC">
            <w:pPr>
              <w:pStyle w:val="Predefinito"/>
              <w:rPr>
                <w:sz w:val="20"/>
                <w:szCs w:val="20"/>
              </w:rPr>
            </w:pPr>
          </w:p>
          <w:p w14:paraId="054ABE24" w14:textId="77777777" w:rsidR="00534EEC" w:rsidRPr="005C2013" w:rsidRDefault="00534EEC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>2</w:t>
            </w:r>
            <w:r w:rsidRPr="005C2013">
              <w:rPr>
                <w:sz w:val="20"/>
                <w:szCs w:val="20"/>
              </w:rPr>
              <w:t>: l</w:t>
            </w:r>
            <w:r w:rsidRPr="005C2013">
              <w:rPr>
                <w:rFonts w:hAnsi="Times New Roman"/>
                <w:sz w:val="20"/>
                <w:szCs w:val="20"/>
              </w:rPr>
              <w:t>’</w:t>
            </w:r>
            <w:r w:rsidRPr="005C2013">
              <w:rPr>
                <w:sz w:val="20"/>
                <w:szCs w:val="20"/>
              </w:rPr>
              <w:t>ottica geometrica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2334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1. La riflessione e la rifrazione</w:t>
            </w:r>
          </w:p>
          <w:p w14:paraId="38EC373E" w14:textId="77777777" w:rsidR="00534EEC" w:rsidRDefault="00534EEC" w:rsidP="00534EEC">
            <w:pPr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14:paraId="59100596" w14:textId="77777777" w:rsidR="00534EEC" w:rsidRPr="00534EEC" w:rsidRDefault="00534EEC" w:rsidP="00534EEC">
            <w:pPr>
              <w:rPr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30F2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</w:t>
            </w:r>
            <w:r w:rsidRPr="005C20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Leggi della</w:t>
            </w:r>
            <w:r w:rsidRPr="005C2013">
              <w:rPr>
                <w:sz w:val="20"/>
                <w:szCs w:val="20"/>
              </w:rPr>
              <w:t xml:space="preserve"> riflessione e gli specchi</w:t>
            </w:r>
            <w:r>
              <w:rPr>
                <w:sz w:val="20"/>
                <w:szCs w:val="20"/>
              </w:rPr>
              <w:t xml:space="preserve"> piani.             Specchi sferici: costruzione di un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immagine con gli specchi sferici. Legge dei punti coniugati ed ingrandimento.</w:t>
            </w:r>
          </w:p>
          <w:p w14:paraId="33698B82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Leggi della rifrazione e riflessione totale.</w:t>
            </w:r>
          </w:p>
          <w:p w14:paraId="3D1AEDB1" w14:textId="66EFA09B" w:rsidR="00534EEC" w:rsidRPr="006318A6" w:rsidRDefault="00534EEC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Le lenti</w:t>
            </w:r>
            <w:r>
              <w:rPr>
                <w:sz w:val="20"/>
                <w:szCs w:val="20"/>
              </w:rPr>
              <w:t xml:space="preserve"> sferiche</w:t>
            </w:r>
            <w:r w:rsidRPr="005C20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Ingrandimento per le lenti sottil</w:t>
            </w:r>
            <w:r w:rsidR="006318A6">
              <w:rPr>
                <w:sz w:val="20"/>
                <w:szCs w:val="20"/>
              </w:rPr>
              <w:t>i.</w:t>
            </w:r>
          </w:p>
        </w:tc>
      </w:tr>
      <w:tr w:rsidR="00534EEC" w:rsidRPr="005C2013" w14:paraId="4F0DCAE2" w14:textId="77777777" w:rsidTr="00534EEC">
        <w:trPr>
          <w:trHeight w:val="68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5310" w14:textId="77777777" w:rsidR="00534EEC" w:rsidRPr="005C2013" w:rsidRDefault="00534EEC" w:rsidP="00534EEC">
            <w:pPr>
              <w:pStyle w:val="Predefinito"/>
              <w:jc w:val="center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>3</w:t>
            </w:r>
            <w:r w:rsidRPr="005C2013">
              <w:rPr>
                <w:sz w:val="20"/>
                <w:szCs w:val="20"/>
              </w:rPr>
              <w:t>:</w:t>
            </w:r>
          </w:p>
          <w:p w14:paraId="46A67F61" w14:textId="77777777" w:rsidR="00534EEC" w:rsidRPr="005C2013" w:rsidRDefault="00534EEC" w:rsidP="00534EEC">
            <w:pPr>
              <w:pStyle w:val="Predefinito"/>
              <w:jc w:val="center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La Meccanica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7BBC" w14:textId="77777777" w:rsidR="00534EEC" w:rsidRPr="005C2013" w:rsidRDefault="00534EEC" w:rsidP="00534EEC">
            <w:pPr>
              <w:pStyle w:val="Predefinito"/>
              <w:rPr>
                <w:sz w:val="20"/>
                <w:szCs w:val="20"/>
              </w:rPr>
            </w:pPr>
          </w:p>
          <w:p w14:paraId="28A4D0C9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I vettori e l</w:t>
            </w:r>
            <w:r w:rsidRPr="005C2013">
              <w:rPr>
                <w:sz w:val="20"/>
                <w:szCs w:val="20"/>
              </w:rPr>
              <w:t>e forze</w:t>
            </w:r>
          </w:p>
          <w:p w14:paraId="55EA81AA" w14:textId="77777777" w:rsidR="00534EEC" w:rsidRPr="00534EEC" w:rsidRDefault="00534EEC" w:rsidP="00534EEC">
            <w:pPr>
              <w:rPr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3E03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Grandezze scalari e vettoriali.</w:t>
            </w:r>
            <w:r w:rsidRPr="005C2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Componenti di un vettore. </w:t>
            </w:r>
            <w:r w:rsidRPr="005C2013">
              <w:rPr>
                <w:sz w:val="20"/>
                <w:szCs w:val="20"/>
              </w:rPr>
              <w:t xml:space="preserve">Operazioni con i vettori. </w:t>
            </w:r>
            <w:r>
              <w:rPr>
                <w:sz w:val="20"/>
                <w:szCs w:val="20"/>
              </w:rPr>
              <w:t>Le forze.</w:t>
            </w:r>
          </w:p>
          <w:p w14:paraId="7FC0B81A" w14:textId="77777777" w:rsidR="00534EEC" w:rsidRDefault="00534EEC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Forza peso</w:t>
            </w:r>
            <w:r>
              <w:rPr>
                <w:sz w:val="20"/>
                <w:szCs w:val="20"/>
              </w:rPr>
              <w:t xml:space="preserve"> e massa. </w:t>
            </w:r>
            <w:r w:rsidRPr="005C2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</w:t>
            </w:r>
            <w:r w:rsidRPr="005C2013">
              <w:rPr>
                <w:sz w:val="20"/>
                <w:szCs w:val="20"/>
              </w:rPr>
              <w:t>forza d</w:t>
            </w:r>
            <w:r w:rsidRPr="005C2013">
              <w:rPr>
                <w:rFonts w:hAnsi="Times New Roman"/>
                <w:sz w:val="20"/>
                <w:szCs w:val="20"/>
              </w:rPr>
              <w:t>’</w:t>
            </w:r>
            <w:r w:rsidRPr="005C2013">
              <w:rPr>
                <w:sz w:val="20"/>
                <w:szCs w:val="20"/>
              </w:rPr>
              <w:t>attrito</w:t>
            </w:r>
            <w:r>
              <w:rPr>
                <w:sz w:val="20"/>
                <w:szCs w:val="20"/>
              </w:rPr>
              <w:t>. La</w:t>
            </w:r>
            <w:r w:rsidRPr="005C2013">
              <w:rPr>
                <w:sz w:val="20"/>
                <w:szCs w:val="20"/>
              </w:rPr>
              <w:t xml:space="preserve"> forza elastica.</w:t>
            </w:r>
          </w:p>
          <w:p w14:paraId="1F63B46F" w14:textId="77777777" w:rsidR="00534EEC" w:rsidRPr="00534EEC" w:rsidRDefault="00534EEC" w:rsidP="00534EEC">
            <w:pPr>
              <w:rPr>
                <w:lang w:eastAsia="it-IT"/>
              </w:rPr>
            </w:pPr>
          </w:p>
        </w:tc>
      </w:tr>
      <w:tr w:rsidR="00462F19" w:rsidRPr="005C2013" w14:paraId="0D1CE0A2" w14:textId="77777777" w:rsidTr="00462F19">
        <w:trPr>
          <w:trHeight w:val="1313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D21A8" w14:textId="77777777" w:rsidR="00462F19" w:rsidRPr="005C2013" w:rsidRDefault="00462F19" w:rsidP="00534EEC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116E6" w14:textId="77777777" w:rsidR="00462F19" w:rsidRDefault="00462F19" w:rsidP="00534EEC">
            <w:pPr>
              <w:pStyle w:val="Predefinito"/>
              <w:rPr>
                <w:sz w:val="20"/>
                <w:szCs w:val="20"/>
              </w:rPr>
            </w:pPr>
            <w:r w:rsidRPr="005C2013">
              <w:rPr>
                <w:sz w:val="20"/>
                <w:szCs w:val="20"/>
              </w:rPr>
              <w:t>2. L</w:t>
            </w:r>
            <w:r w:rsidRPr="005C2013">
              <w:rPr>
                <w:rFonts w:hAnsi="Times New Roman"/>
                <w:sz w:val="20"/>
                <w:szCs w:val="20"/>
              </w:rPr>
              <w:t>’</w:t>
            </w:r>
            <w:r w:rsidRPr="005C2013">
              <w:rPr>
                <w:sz w:val="20"/>
                <w:szCs w:val="20"/>
              </w:rPr>
              <w:t>equilibrio</w:t>
            </w:r>
            <w:r>
              <w:rPr>
                <w:sz w:val="20"/>
                <w:szCs w:val="20"/>
              </w:rPr>
              <w:t xml:space="preserve"> nei solidi</w:t>
            </w:r>
          </w:p>
          <w:p w14:paraId="4A8872D6" w14:textId="77777777" w:rsidR="00462F19" w:rsidRPr="00534EEC" w:rsidRDefault="00462F19" w:rsidP="00534EEC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4A31" w14:textId="77777777" w:rsidR="00462F19" w:rsidRDefault="00462F19" w:rsidP="00534EEC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materiale e corpo rigido. Equilibrio del punto materiale.</w:t>
            </w:r>
          </w:p>
          <w:p w14:paraId="72ED1A75" w14:textId="77777777" w:rsidR="00462F19" w:rsidRPr="00756785" w:rsidRDefault="00462F19" w:rsidP="00756785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Equilibrio su un piano inclinato.                                            Effetto di pi</w:t>
            </w:r>
            <w:r>
              <w:rPr>
                <w:sz w:val="20"/>
                <w:szCs w:val="20"/>
              </w:rPr>
              <w:t>ù</w:t>
            </w:r>
            <w:r>
              <w:rPr>
                <w:sz w:val="20"/>
                <w:szCs w:val="20"/>
              </w:rPr>
              <w:t xml:space="preserve"> forze su un corpo rigido: momento di una forza.  Equilibrio di un corpo rigido.  Le leve.  Baricentro di un corpo.</w:t>
            </w:r>
          </w:p>
        </w:tc>
      </w:tr>
      <w:tr w:rsidR="00462F19" w:rsidRPr="005C2013" w14:paraId="45C1376C" w14:textId="77777777" w:rsidTr="00F21855">
        <w:trPr>
          <w:trHeight w:val="835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6073" w14:textId="142575CA" w:rsidR="00462F19" w:rsidRPr="00462F19" w:rsidRDefault="00462F19" w:rsidP="00462F19">
            <w:pPr>
              <w:pStyle w:val="Predefini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462F19">
              <w:rPr>
                <w:rFonts w:hAnsi="Times New Roman" w:cs="Times New Roman"/>
                <w:sz w:val="20"/>
                <w:szCs w:val="20"/>
              </w:rPr>
              <w:t>Modulo 4:</w:t>
            </w:r>
          </w:p>
          <w:p w14:paraId="6977672F" w14:textId="2326DF36" w:rsidR="00462F19" w:rsidRPr="005C2013" w:rsidRDefault="00462F19" w:rsidP="00462F19">
            <w:r w:rsidRPr="00462F19">
              <w:rPr>
                <w:rFonts w:ascii="Times New Roman" w:hAnsi="Times New Roman" w:cs="Times New Roman"/>
                <w:sz w:val="20"/>
                <w:szCs w:val="20"/>
              </w:rPr>
              <w:t>Statica dei fluidi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4E4A" w14:textId="4CC511A7" w:rsidR="00462F19" w:rsidRPr="005C2013" w:rsidRDefault="00462F19" w:rsidP="00462F19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2013">
              <w:rPr>
                <w:sz w:val="20"/>
                <w:szCs w:val="20"/>
              </w:rPr>
              <w:t>. L</w:t>
            </w:r>
            <w:r w:rsidRPr="005C2013">
              <w:rPr>
                <w:rFonts w:hAnsi="Times New Roman"/>
                <w:sz w:val="20"/>
                <w:szCs w:val="20"/>
              </w:rPr>
              <w:t>’</w:t>
            </w:r>
            <w:r w:rsidRPr="005C2013">
              <w:rPr>
                <w:sz w:val="20"/>
                <w:szCs w:val="20"/>
              </w:rPr>
              <w:t>equilibrio</w:t>
            </w:r>
            <w:r>
              <w:rPr>
                <w:sz w:val="20"/>
                <w:szCs w:val="20"/>
              </w:rPr>
              <w:t xml:space="preserve"> nei fluidi</w:t>
            </w:r>
          </w:p>
          <w:p w14:paraId="24BE6498" w14:textId="77777777" w:rsidR="00462F19" w:rsidRPr="005C2013" w:rsidRDefault="00462F19" w:rsidP="00534EEC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FEB7" w14:textId="77777777" w:rsidR="00462F19" w:rsidRDefault="00462F19" w:rsidP="00462F19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Concetto di pressione. La pressione in un liquido.</w:t>
            </w:r>
          </w:p>
          <w:p w14:paraId="6371B993" w14:textId="77777777" w:rsidR="00462F19" w:rsidRDefault="00462F19" w:rsidP="00462F19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Principio di Pascal: il torchio idraulico.</w:t>
            </w:r>
          </w:p>
          <w:p w14:paraId="3725F1FD" w14:textId="1CE9296D" w:rsidR="00462F19" w:rsidRDefault="00462F19" w:rsidP="00462F19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 di </w:t>
            </w:r>
            <w:proofErr w:type="spellStart"/>
            <w:r>
              <w:rPr>
                <w:sz w:val="20"/>
                <w:szCs w:val="20"/>
              </w:rPr>
              <w:t>Stevino</w:t>
            </w:r>
            <w:proofErr w:type="spellEnd"/>
            <w:r>
              <w:rPr>
                <w:sz w:val="20"/>
                <w:szCs w:val="20"/>
              </w:rPr>
              <w:t>: vasi comunicanti.</w:t>
            </w:r>
          </w:p>
        </w:tc>
      </w:tr>
    </w:tbl>
    <w:p w14:paraId="464D264E" w14:textId="0C1CDC5F" w:rsidR="003E501D" w:rsidRDefault="003E501D" w:rsidP="003E501D">
      <w:pPr>
        <w:jc w:val="both"/>
      </w:pPr>
    </w:p>
    <w:p w14:paraId="4A3EE5E1" w14:textId="77777777" w:rsidR="007E0E87" w:rsidRPr="007E0E87" w:rsidRDefault="007E0E87" w:rsidP="003E501D">
      <w:pPr>
        <w:jc w:val="both"/>
        <w:rPr>
          <w:rFonts w:ascii="Times New Roman" w:hAnsi="Times New Roman" w:cs="Times New Roman"/>
        </w:rPr>
      </w:pPr>
    </w:p>
    <w:p w14:paraId="18C34D50" w14:textId="57B66B96" w:rsidR="00756785" w:rsidRDefault="008024BF" w:rsidP="003E501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                                                                                           </w:t>
      </w:r>
      <w:r w:rsidR="007567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L’insegnante</w:t>
      </w:r>
    </w:p>
    <w:p w14:paraId="1779BAC6" w14:textId="77777777" w:rsidR="003E501D" w:rsidRPr="00905CCD" w:rsidRDefault="00756785" w:rsidP="003E501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                                                                                   </w:t>
      </w:r>
      <w:r w:rsidR="003E501D" w:rsidRPr="00817D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</w:t>
      </w:r>
      <w:r w:rsidR="003E501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Prof.ssa   </w:t>
      </w:r>
      <w:r w:rsidR="003E501D" w:rsidRPr="00905CCD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Stefania Gizzi</w:t>
      </w:r>
    </w:p>
    <w:p w14:paraId="33FF0710" w14:textId="77777777" w:rsidR="00DD1E1B" w:rsidRPr="00DD1E1B" w:rsidRDefault="00DD1E1B" w:rsidP="00DD1E1B">
      <w:pPr>
        <w:tabs>
          <w:tab w:val="left" w:pos="9060"/>
        </w:tabs>
      </w:pPr>
    </w:p>
    <w:sectPr w:rsidR="00DD1E1B" w:rsidRPr="00DD1E1B" w:rsidSect="00DB33CE">
      <w:pgSz w:w="11906" w:h="16838"/>
      <w:pgMar w:top="709" w:right="99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1CD9" w14:textId="77777777" w:rsidR="000C2867" w:rsidRDefault="000C2867" w:rsidP="00DB33CE">
      <w:pPr>
        <w:spacing w:after="0" w:line="240" w:lineRule="auto"/>
      </w:pPr>
      <w:r>
        <w:separator/>
      </w:r>
    </w:p>
  </w:endnote>
  <w:endnote w:type="continuationSeparator" w:id="0">
    <w:p w14:paraId="739C1667" w14:textId="77777777" w:rsidR="000C2867" w:rsidRDefault="000C2867" w:rsidP="00D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BD53" w14:textId="77777777" w:rsidR="000C2867" w:rsidRDefault="000C2867" w:rsidP="00DB33CE">
      <w:pPr>
        <w:spacing w:after="0" w:line="240" w:lineRule="auto"/>
      </w:pPr>
      <w:r>
        <w:separator/>
      </w:r>
    </w:p>
  </w:footnote>
  <w:footnote w:type="continuationSeparator" w:id="0">
    <w:p w14:paraId="6C1F54BD" w14:textId="77777777" w:rsidR="000C2867" w:rsidRDefault="000C2867" w:rsidP="00DB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E"/>
    <w:rsid w:val="00071E7B"/>
    <w:rsid w:val="00096E79"/>
    <w:rsid w:val="000C2867"/>
    <w:rsid w:val="000E0D41"/>
    <w:rsid w:val="00106CE1"/>
    <w:rsid w:val="001443E4"/>
    <w:rsid w:val="00147C34"/>
    <w:rsid w:val="001B1A37"/>
    <w:rsid w:val="001B5A79"/>
    <w:rsid w:val="00221692"/>
    <w:rsid w:val="00270064"/>
    <w:rsid w:val="00295894"/>
    <w:rsid w:val="002C16D8"/>
    <w:rsid w:val="002C291D"/>
    <w:rsid w:val="00304717"/>
    <w:rsid w:val="00315C31"/>
    <w:rsid w:val="0031737D"/>
    <w:rsid w:val="00340A8B"/>
    <w:rsid w:val="00370FC2"/>
    <w:rsid w:val="003D6BF2"/>
    <w:rsid w:val="003E4D9A"/>
    <w:rsid w:val="003E501D"/>
    <w:rsid w:val="00431648"/>
    <w:rsid w:val="00440865"/>
    <w:rsid w:val="004550EB"/>
    <w:rsid w:val="00462F19"/>
    <w:rsid w:val="004E1DBC"/>
    <w:rsid w:val="004F78DE"/>
    <w:rsid w:val="00501F6A"/>
    <w:rsid w:val="00524FC8"/>
    <w:rsid w:val="00534EEC"/>
    <w:rsid w:val="00577147"/>
    <w:rsid w:val="005F2A71"/>
    <w:rsid w:val="006318A6"/>
    <w:rsid w:val="006433C3"/>
    <w:rsid w:val="00647EA4"/>
    <w:rsid w:val="00665312"/>
    <w:rsid w:val="006854D6"/>
    <w:rsid w:val="0072314C"/>
    <w:rsid w:val="007477EE"/>
    <w:rsid w:val="00755E5A"/>
    <w:rsid w:val="00756785"/>
    <w:rsid w:val="007E0E87"/>
    <w:rsid w:val="007E268E"/>
    <w:rsid w:val="007F1018"/>
    <w:rsid w:val="008024BF"/>
    <w:rsid w:val="00897EA7"/>
    <w:rsid w:val="008C3667"/>
    <w:rsid w:val="0096623E"/>
    <w:rsid w:val="009A3D4A"/>
    <w:rsid w:val="009D00F5"/>
    <w:rsid w:val="009E0D8C"/>
    <w:rsid w:val="00A717EC"/>
    <w:rsid w:val="00AD5F0A"/>
    <w:rsid w:val="00B122DA"/>
    <w:rsid w:val="00B94658"/>
    <w:rsid w:val="00BC13A3"/>
    <w:rsid w:val="00C07F53"/>
    <w:rsid w:val="00C361DA"/>
    <w:rsid w:val="00C4118E"/>
    <w:rsid w:val="00C459F6"/>
    <w:rsid w:val="00C50C40"/>
    <w:rsid w:val="00C5131E"/>
    <w:rsid w:val="00C6226B"/>
    <w:rsid w:val="00C6653B"/>
    <w:rsid w:val="00C8362E"/>
    <w:rsid w:val="00C95ADD"/>
    <w:rsid w:val="00D008CE"/>
    <w:rsid w:val="00D913CB"/>
    <w:rsid w:val="00DB0DD4"/>
    <w:rsid w:val="00DB33CE"/>
    <w:rsid w:val="00DC73AB"/>
    <w:rsid w:val="00DD1E1B"/>
    <w:rsid w:val="00E0003F"/>
    <w:rsid w:val="00E3671F"/>
    <w:rsid w:val="00E44F84"/>
    <w:rsid w:val="00E94BF3"/>
    <w:rsid w:val="00ED73F8"/>
    <w:rsid w:val="00EF3C95"/>
    <w:rsid w:val="00F47875"/>
    <w:rsid w:val="00FB098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2DC"/>
  <w15:docId w15:val="{52ECCBFD-9836-4EC0-ADEA-88E8383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50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4F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3CE"/>
  </w:style>
  <w:style w:type="paragraph" w:styleId="Pidipagina">
    <w:name w:val="footer"/>
    <w:basedOn w:val="Normale"/>
    <w:link w:val="PidipaginaCarattere"/>
    <w:uiPriority w:val="99"/>
    <w:unhideWhenUsed/>
    <w:rsid w:val="00DB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3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43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E501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Predefinito">
    <w:name w:val="Predefinito"/>
    <w:rsid w:val="003E50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idefault">
    <w:name w:val="Di default"/>
    <w:rsid w:val="003E5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E501D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501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Stefania Gizzi</cp:lastModifiedBy>
  <cp:revision>5</cp:revision>
  <cp:lastPrinted>2019-04-08T19:59:00Z</cp:lastPrinted>
  <dcterms:created xsi:type="dcterms:W3CDTF">2020-06-02T07:11:00Z</dcterms:created>
  <dcterms:modified xsi:type="dcterms:W3CDTF">2020-06-02T07:19:00Z</dcterms:modified>
</cp:coreProperties>
</file>